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E821CC" w:rsidRPr="00BA0ED6" w14:paraId="1FF3E21D" w14:textId="77777777" w:rsidTr="00724CE4">
        <w:tc>
          <w:tcPr>
            <w:tcW w:w="10207" w:type="dxa"/>
          </w:tcPr>
          <w:p w14:paraId="5A7775D3" w14:textId="06BD427F" w:rsidR="00E821CC" w:rsidRPr="00560BEF" w:rsidRDefault="009B0008" w:rsidP="009B0008">
            <w:pPr>
              <w:jc w:val="center"/>
              <w:rPr>
                <w:rFonts w:ascii="Avenir Book" w:hAnsi="Avenir Book" w:cs="Avenir Book"/>
                <w:b/>
                <w:bCs/>
                <w:sz w:val="26"/>
                <w:szCs w:val="26"/>
              </w:rPr>
            </w:pPr>
            <w:r>
              <w:rPr>
                <w:rFonts w:ascii="Avenir Book" w:hAnsi="Avenir Book" w:cs="Avenir Book"/>
                <w:b/>
                <w:bCs/>
                <w:sz w:val="26"/>
                <w:szCs w:val="26"/>
              </w:rPr>
              <w:t>T</w:t>
            </w:r>
            <w:r w:rsidRPr="00560BEF">
              <w:rPr>
                <w:rFonts w:ascii="Avenir Book" w:hAnsi="Avenir Book" w:cs="Avenir Book"/>
                <w:b/>
                <w:bCs/>
                <w:sz w:val="26"/>
                <w:szCs w:val="26"/>
              </w:rPr>
              <w:t xml:space="preserve">he </w:t>
            </w:r>
            <w:r>
              <w:rPr>
                <w:rFonts w:ascii="Avenir Book" w:hAnsi="Avenir Book" w:cs="Avenir Book"/>
                <w:b/>
                <w:bCs/>
                <w:sz w:val="26"/>
                <w:szCs w:val="26"/>
              </w:rPr>
              <w:t>S</w:t>
            </w:r>
            <w:r w:rsidRPr="00560BEF">
              <w:rPr>
                <w:rFonts w:ascii="Avenir Book" w:hAnsi="Avenir Book" w:cs="Avenir Book"/>
                <w:b/>
                <w:bCs/>
                <w:sz w:val="26"/>
                <w:szCs w:val="26"/>
              </w:rPr>
              <w:t xml:space="preserve">audi </w:t>
            </w:r>
            <w:r>
              <w:rPr>
                <w:rFonts w:ascii="Avenir Book" w:hAnsi="Avenir Book" w:cs="Avenir Book"/>
                <w:b/>
                <w:bCs/>
                <w:sz w:val="26"/>
                <w:szCs w:val="26"/>
              </w:rPr>
              <w:t>S</w:t>
            </w:r>
            <w:r w:rsidRPr="00560BEF">
              <w:rPr>
                <w:rFonts w:ascii="Avenir Book" w:hAnsi="Avenir Book" w:cs="Avenir Book"/>
                <w:b/>
                <w:bCs/>
                <w:sz w:val="26"/>
                <w:szCs w:val="26"/>
              </w:rPr>
              <w:t xml:space="preserve">tock </w:t>
            </w:r>
            <w:r>
              <w:rPr>
                <w:rFonts w:ascii="Avenir Book" w:hAnsi="Avenir Book" w:cs="Avenir Book"/>
                <w:b/>
                <w:bCs/>
                <w:sz w:val="26"/>
                <w:szCs w:val="26"/>
              </w:rPr>
              <w:t>E</w:t>
            </w:r>
            <w:r w:rsidRPr="00560BEF">
              <w:rPr>
                <w:rFonts w:ascii="Avenir Book" w:hAnsi="Avenir Book" w:cs="Avenir Book"/>
                <w:b/>
                <w:bCs/>
                <w:sz w:val="26"/>
                <w:szCs w:val="26"/>
              </w:rPr>
              <w:t>xchange (</w:t>
            </w:r>
            <w:r>
              <w:rPr>
                <w:rFonts w:ascii="Avenir Book" w:hAnsi="Avenir Book" w:cs="Avenir Book"/>
                <w:b/>
                <w:bCs/>
                <w:sz w:val="26"/>
                <w:szCs w:val="26"/>
              </w:rPr>
              <w:t>T</w:t>
            </w:r>
            <w:r w:rsidRPr="00560BEF">
              <w:rPr>
                <w:rFonts w:ascii="Avenir Book" w:hAnsi="Avenir Book" w:cs="Avenir Book"/>
                <w:b/>
                <w:bCs/>
                <w:sz w:val="26"/>
                <w:szCs w:val="26"/>
              </w:rPr>
              <w:t xml:space="preserve">adawul) Announces Its Transformation into </w:t>
            </w:r>
            <w:r w:rsidR="008476ED">
              <w:rPr>
                <w:rFonts w:ascii="Avenir Book" w:hAnsi="Avenir Book" w:cs="Avenir Book"/>
                <w:b/>
                <w:bCs/>
                <w:sz w:val="26"/>
                <w:szCs w:val="26"/>
              </w:rPr>
              <w:t>a</w:t>
            </w:r>
            <w:r w:rsidRPr="00887D33">
              <w:rPr>
                <w:rFonts w:ascii="Avenir Book" w:hAnsi="Avenir Book" w:cs="Avenir Book"/>
                <w:b/>
                <w:bCs/>
                <w:sz w:val="26"/>
                <w:szCs w:val="26"/>
              </w:rPr>
              <w:t xml:space="preserve"> Holding </w:t>
            </w:r>
            <w:r w:rsidRPr="00560BEF">
              <w:rPr>
                <w:rFonts w:ascii="Avenir Book" w:hAnsi="Avenir Book" w:cs="Avenir Book"/>
                <w:b/>
                <w:bCs/>
                <w:sz w:val="26"/>
                <w:szCs w:val="26"/>
              </w:rPr>
              <w:t xml:space="preserve">Company (Saudi Tadawul Group) </w:t>
            </w:r>
            <w:r w:rsidR="007876AA">
              <w:rPr>
                <w:rFonts w:ascii="Avenir Book" w:hAnsi="Avenir Book" w:cs="Avenir Book"/>
                <w:b/>
                <w:bCs/>
                <w:sz w:val="26"/>
                <w:szCs w:val="26"/>
              </w:rPr>
              <w:t>i</w:t>
            </w:r>
            <w:r w:rsidRPr="00560BEF">
              <w:rPr>
                <w:rFonts w:ascii="Avenir Book" w:hAnsi="Avenir Book" w:cs="Avenir Book"/>
                <w:b/>
                <w:bCs/>
                <w:sz w:val="26"/>
                <w:szCs w:val="26"/>
              </w:rPr>
              <w:t xml:space="preserve">n Preparation for </w:t>
            </w:r>
            <w:r>
              <w:rPr>
                <w:rFonts w:ascii="Avenir Book" w:hAnsi="Avenir Book" w:cs="Avenir Book"/>
                <w:b/>
                <w:bCs/>
                <w:sz w:val="26"/>
                <w:szCs w:val="26"/>
              </w:rPr>
              <w:t>IPO</w:t>
            </w:r>
            <w:r w:rsidRPr="00560BEF">
              <w:rPr>
                <w:rFonts w:ascii="Avenir Book" w:hAnsi="Avenir Book" w:cs="Avenir Book"/>
                <w:b/>
                <w:bCs/>
                <w:sz w:val="26"/>
                <w:szCs w:val="26"/>
              </w:rPr>
              <w:t xml:space="preserve">  </w:t>
            </w:r>
          </w:p>
          <w:p w14:paraId="33F00615" w14:textId="77777777" w:rsidR="00E821CC" w:rsidRPr="00BA0ED6" w:rsidRDefault="00E821CC" w:rsidP="00BA0ED6">
            <w:pPr>
              <w:jc w:val="center"/>
              <w:rPr>
                <w:rFonts w:ascii="Avenir Arabic Book" w:hAnsi="Avenir Arabic Book" w:cs="Avenir Arabic Medium"/>
                <w:sz w:val="26"/>
                <w:szCs w:val="26"/>
              </w:rPr>
            </w:pPr>
          </w:p>
          <w:p w14:paraId="1A2612B9" w14:textId="77777777" w:rsidR="00E821CC" w:rsidRPr="003A3276" w:rsidRDefault="00E821CC" w:rsidP="00BA0ED6">
            <w:pPr>
              <w:numPr>
                <w:ilvl w:val="0"/>
                <w:numId w:val="6"/>
              </w:numPr>
              <w:ind w:right="458"/>
              <w:contextualSpacing/>
              <w:jc w:val="both"/>
              <w:rPr>
                <w:rFonts w:ascii="Avenir Book" w:hAnsi="Avenir Book" w:cs="Avenir Book"/>
                <w:szCs w:val="24"/>
              </w:rPr>
            </w:pPr>
            <w:r w:rsidRPr="003A3276">
              <w:rPr>
                <w:rFonts w:ascii="Avenir Book" w:hAnsi="Avenir Book" w:cs="Avenir Book"/>
                <w:szCs w:val="24"/>
              </w:rPr>
              <w:t>Four subsidiaries under the umbrella of the new Group, focused on growth and innovation</w:t>
            </w:r>
          </w:p>
          <w:p w14:paraId="41A8F46F" w14:textId="77777777" w:rsidR="00E821CC" w:rsidRPr="003A3276" w:rsidRDefault="00E821CC" w:rsidP="00BA0ED6">
            <w:pPr>
              <w:numPr>
                <w:ilvl w:val="0"/>
                <w:numId w:val="6"/>
              </w:numPr>
              <w:ind w:right="458"/>
              <w:contextualSpacing/>
              <w:jc w:val="both"/>
              <w:rPr>
                <w:rFonts w:ascii="Avenir Book" w:hAnsi="Avenir Book" w:cs="Avenir Book"/>
                <w:szCs w:val="24"/>
              </w:rPr>
            </w:pPr>
            <w:r w:rsidRPr="003A3276">
              <w:rPr>
                <w:rFonts w:ascii="Avenir Book" w:hAnsi="Avenir Book" w:cs="Avenir Book"/>
                <w:szCs w:val="24"/>
              </w:rPr>
              <w:t>The launch of (Saudi Exchange) a dedicated stock exchange company, and (Wamid), an applied technology solutions company aimed at strengthening the Group’s capabilities in technology and innovation-based services and solutions</w:t>
            </w:r>
          </w:p>
          <w:p w14:paraId="09B62D21" w14:textId="77777777" w:rsidR="00E821CC" w:rsidRPr="003A3276" w:rsidRDefault="00E821CC" w:rsidP="00BA0ED6">
            <w:pPr>
              <w:numPr>
                <w:ilvl w:val="0"/>
                <w:numId w:val="6"/>
              </w:numPr>
              <w:ind w:right="458"/>
              <w:contextualSpacing/>
              <w:jc w:val="both"/>
              <w:rPr>
                <w:rFonts w:ascii="Avenir Book" w:hAnsi="Avenir Book" w:cs="Avenir Book"/>
                <w:szCs w:val="24"/>
              </w:rPr>
            </w:pPr>
            <w:r w:rsidRPr="003A3276">
              <w:rPr>
                <w:rFonts w:ascii="Avenir Book" w:hAnsi="Avenir Book" w:cs="Avenir Book"/>
                <w:szCs w:val="24"/>
              </w:rPr>
              <w:t>The transformation will reinforce Saudi Tadawul Group’s position as an attractive investment destination for investors and the issuers' exchange of choice</w:t>
            </w:r>
          </w:p>
          <w:p w14:paraId="2CEE068F" w14:textId="77777777" w:rsidR="00E821CC" w:rsidRPr="003A3276" w:rsidRDefault="00E821CC" w:rsidP="00BA0ED6">
            <w:pPr>
              <w:numPr>
                <w:ilvl w:val="0"/>
                <w:numId w:val="6"/>
              </w:numPr>
              <w:ind w:right="458"/>
              <w:contextualSpacing/>
              <w:jc w:val="both"/>
              <w:rPr>
                <w:rFonts w:ascii="Avenir Book" w:hAnsi="Avenir Book" w:cs="Avenir Book"/>
                <w:szCs w:val="24"/>
              </w:rPr>
            </w:pPr>
            <w:r w:rsidRPr="003A3276">
              <w:rPr>
                <w:rFonts w:ascii="Avenir Book" w:hAnsi="Avenir Book" w:cs="Avenir Book"/>
                <w:szCs w:val="24"/>
              </w:rPr>
              <w:t xml:space="preserve">Sarah Al-Suhaimi is to chair the new Group and Eng. Khalid Al-Hussan to be appointed as the Group’s Chief Executive Officer   </w:t>
            </w:r>
          </w:p>
          <w:p w14:paraId="427E5EEF" w14:textId="25ACBCCF" w:rsidR="00E821CC" w:rsidRPr="003A3276" w:rsidRDefault="00E821CC" w:rsidP="006952AD">
            <w:pPr>
              <w:numPr>
                <w:ilvl w:val="0"/>
                <w:numId w:val="6"/>
              </w:numPr>
              <w:ind w:right="458"/>
              <w:contextualSpacing/>
              <w:jc w:val="both"/>
              <w:rPr>
                <w:rFonts w:ascii="Avenir Book" w:hAnsi="Avenir Book" w:cs="Avenir Book"/>
                <w:szCs w:val="24"/>
              </w:rPr>
            </w:pPr>
            <w:r w:rsidRPr="003A3276">
              <w:rPr>
                <w:rFonts w:ascii="Avenir Book" w:hAnsi="Avenir Book" w:cs="Avenir Book"/>
                <w:szCs w:val="24"/>
              </w:rPr>
              <w:t xml:space="preserve">This transformation establishes the necessary platform to realize the Group's strategic objectives and strengthen its infrastructure ahead of </w:t>
            </w:r>
            <w:r w:rsidR="00921002">
              <w:rPr>
                <w:rFonts w:ascii="Avenir Book" w:hAnsi="Avenir Book" w:cs="Avenir Book"/>
                <w:szCs w:val="24"/>
              </w:rPr>
              <w:t xml:space="preserve">the </w:t>
            </w:r>
            <w:r w:rsidRPr="003A3276">
              <w:rPr>
                <w:rFonts w:ascii="Avenir Book" w:hAnsi="Avenir Book" w:cs="Avenir Book"/>
                <w:szCs w:val="24"/>
              </w:rPr>
              <w:t>IPO this year (2021)</w:t>
            </w:r>
          </w:p>
          <w:p w14:paraId="050CDF81" w14:textId="77777777" w:rsidR="00E821CC" w:rsidRPr="003A3276" w:rsidRDefault="00E821CC" w:rsidP="00BA0ED6">
            <w:pPr>
              <w:jc w:val="both"/>
              <w:rPr>
                <w:rFonts w:ascii="Avenir Book" w:hAnsi="Avenir Book" w:cs="Avenir Book"/>
                <w:sz w:val="26"/>
                <w:szCs w:val="26"/>
              </w:rPr>
            </w:pPr>
          </w:p>
          <w:p w14:paraId="0E3DCAB4" w14:textId="117E4F52" w:rsidR="00E821CC" w:rsidRPr="003A3276" w:rsidRDefault="00E821CC" w:rsidP="006952AD">
            <w:pPr>
              <w:spacing w:after="240"/>
              <w:ind w:right="-46"/>
              <w:jc w:val="both"/>
              <w:rPr>
                <w:rFonts w:ascii="Avenir Book" w:hAnsi="Avenir Book" w:cs="Avenir Book"/>
                <w:sz w:val="22"/>
              </w:rPr>
            </w:pPr>
            <w:r w:rsidRPr="003A3276">
              <w:rPr>
                <w:rFonts w:ascii="Avenir Book" w:hAnsi="Avenir Book" w:cs="Avenir Book"/>
                <w:b/>
                <w:bCs/>
                <w:color w:val="0045E3"/>
                <w:sz w:val="22"/>
              </w:rPr>
              <w:t>RIYADH – April 7</w:t>
            </w:r>
            <w:r w:rsidRPr="003A3276">
              <w:rPr>
                <w:rFonts w:ascii="Avenir Book" w:hAnsi="Avenir Book" w:cs="Avenir Book"/>
                <w:b/>
                <w:bCs/>
                <w:color w:val="0045E3"/>
                <w:sz w:val="22"/>
                <w:vertAlign w:val="superscript"/>
              </w:rPr>
              <w:t>th</w:t>
            </w:r>
            <w:r w:rsidRPr="003A3276">
              <w:rPr>
                <w:rFonts w:ascii="Avenir Book" w:hAnsi="Avenir Book" w:cs="Avenir Book"/>
                <w:b/>
                <w:bCs/>
                <w:color w:val="0045E3"/>
                <w:sz w:val="22"/>
              </w:rPr>
              <w:t>, 2021</w:t>
            </w:r>
            <w:r w:rsidRPr="003A3276">
              <w:rPr>
                <w:rFonts w:ascii="Avenir Book" w:hAnsi="Avenir Book" w:cs="Avenir Book"/>
                <w:color w:val="0045E3"/>
                <w:sz w:val="22"/>
              </w:rPr>
              <w:t xml:space="preserve"> </w:t>
            </w:r>
            <w:r w:rsidRPr="003A3276">
              <w:rPr>
                <w:rFonts w:ascii="Avenir Book" w:hAnsi="Avenir Book" w:cs="Avenir Book"/>
                <w:sz w:val="22"/>
              </w:rPr>
              <w:t>– The Saudi Stock Exchange (Tadawul) today announced its transformation into a holding group structure</w:t>
            </w:r>
            <w:r w:rsidR="002E7E3E">
              <w:rPr>
                <w:rFonts w:ascii="Avenir Book" w:hAnsi="Avenir Book" w:cs="Avenir Book"/>
                <w:sz w:val="22"/>
              </w:rPr>
              <w:t>, reinforcing</w:t>
            </w:r>
            <w:r w:rsidRPr="003A3276">
              <w:rPr>
                <w:rFonts w:ascii="Avenir Book" w:hAnsi="Avenir Book" w:cs="Avenir Book"/>
                <w:sz w:val="22"/>
              </w:rPr>
              <w:t xml:space="preserve"> its capabilities in technology innovation </w:t>
            </w:r>
            <w:r w:rsidR="00973D0A">
              <w:rPr>
                <w:rFonts w:ascii="Avenir Book" w:hAnsi="Avenir Book" w:cs="Avenir Book"/>
                <w:sz w:val="22"/>
              </w:rPr>
              <w:t>by launching</w:t>
            </w:r>
            <w:r w:rsidRPr="003A3276">
              <w:rPr>
                <w:rFonts w:ascii="Avenir Book" w:hAnsi="Avenir Book" w:cs="Avenir Book"/>
                <w:sz w:val="22"/>
              </w:rPr>
              <w:t xml:space="preserve"> a dedicated applied technology solutions company, Wamid.</w:t>
            </w:r>
            <w:r w:rsidR="002A26C4">
              <w:rPr>
                <w:rFonts w:ascii="Avenir Book" w:hAnsi="Avenir Book" w:cs="Avenir Book"/>
                <w:sz w:val="22"/>
              </w:rPr>
              <w:t xml:space="preserve"> </w:t>
            </w:r>
            <w:r w:rsidRPr="003A3276">
              <w:rPr>
                <w:rFonts w:ascii="Avenir Book" w:hAnsi="Avenir Book" w:cs="Avenir Book"/>
                <w:sz w:val="22"/>
              </w:rPr>
              <w:t xml:space="preserve">This transformation marks a new chapter in the Group's history and signals its readiness for </w:t>
            </w:r>
            <w:r w:rsidR="00A543B9">
              <w:rPr>
                <w:rFonts w:ascii="Avenir Book" w:hAnsi="Avenir Book" w:cs="Avenir Book"/>
                <w:sz w:val="22"/>
              </w:rPr>
              <w:t>its</w:t>
            </w:r>
            <w:r w:rsidR="00A543B9" w:rsidRPr="003A3276">
              <w:rPr>
                <w:rFonts w:ascii="Avenir Book" w:hAnsi="Avenir Book" w:cs="Avenir Book"/>
                <w:sz w:val="22"/>
              </w:rPr>
              <w:t xml:space="preserve"> </w:t>
            </w:r>
            <w:r w:rsidRPr="003A3276">
              <w:rPr>
                <w:rFonts w:ascii="Avenir Book" w:hAnsi="Avenir Book" w:cs="Avenir Book"/>
                <w:sz w:val="22"/>
              </w:rPr>
              <w:t xml:space="preserve">IPO in 2021.   </w:t>
            </w:r>
          </w:p>
          <w:p w14:paraId="6265A28C" w14:textId="27DF014B" w:rsidR="00E821CC" w:rsidRPr="003A3276" w:rsidRDefault="00E821CC" w:rsidP="001C71BE">
            <w:pPr>
              <w:spacing w:after="240"/>
              <w:jc w:val="both"/>
              <w:rPr>
                <w:rFonts w:ascii="Avenir Book" w:hAnsi="Avenir Book" w:cs="Avenir Book"/>
                <w:sz w:val="22"/>
                <w:rtl/>
              </w:rPr>
            </w:pPr>
            <w:r w:rsidRPr="003A3276">
              <w:rPr>
                <w:rFonts w:ascii="Avenir Book" w:hAnsi="Avenir Book" w:cs="Avenir Book"/>
                <w:sz w:val="22"/>
              </w:rPr>
              <w:t>Tadawul announced the launch of a holding company, the Saudi Tadawul Group,</w:t>
            </w:r>
            <w:r w:rsidR="000B0E7F">
              <w:rPr>
                <w:rFonts w:ascii="Avenir Book" w:hAnsi="Avenir Book" w:cs="Avenir Book"/>
                <w:sz w:val="22"/>
              </w:rPr>
              <w:t xml:space="preserve"> </w:t>
            </w:r>
            <w:r w:rsidR="00791797">
              <w:rPr>
                <w:rFonts w:ascii="Avenir Book" w:hAnsi="Avenir Book" w:cs="Avenir Book"/>
                <w:sz w:val="22"/>
              </w:rPr>
              <w:t xml:space="preserve">the </w:t>
            </w:r>
            <w:r w:rsidRPr="003A3276">
              <w:rPr>
                <w:rFonts w:ascii="Avenir Book" w:hAnsi="Avenir Book" w:cs="Avenir Book"/>
                <w:sz w:val="22"/>
              </w:rPr>
              <w:t>parent company with a portfolio of four subsidiaries: the Saudi Exchange, a dedicated stock exchange business (previously known as the Saudi Stock Exchange</w:t>
            </w:r>
            <w:r w:rsidR="00F6745A">
              <w:rPr>
                <w:rFonts w:ascii="Avenir Book" w:hAnsi="Avenir Book" w:cs="Avenir Book"/>
                <w:sz w:val="22"/>
              </w:rPr>
              <w:t xml:space="preserve"> Company</w:t>
            </w:r>
            <w:r w:rsidR="00300767">
              <w:rPr>
                <w:rFonts w:ascii="Avenir Book" w:hAnsi="Avenir Book" w:cs="Avenir Book"/>
                <w:sz w:val="22"/>
              </w:rPr>
              <w:t xml:space="preserve"> - </w:t>
            </w:r>
            <w:r w:rsidRPr="003A3276">
              <w:rPr>
                <w:rFonts w:ascii="Avenir Book" w:hAnsi="Avenir Book" w:cs="Avenir Book"/>
                <w:sz w:val="22"/>
              </w:rPr>
              <w:t>Tadawul</w:t>
            </w:r>
            <w:r w:rsidR="004F3565">
              <w:rPr>
                <w:rFonts w:ascii="Avenir Book" w:hAnsi="Avenir Book" w:cs="Avenir Book"/>
                <w:sz w:val="22"/>
              </w:rPr>
              <w:t>)</w:t>
            </w:r>
            <w:r w:rsidRPr="003A3276">
              <w:rPr>
                <w:rFonts w:ascii="Avenir Book" w:hAnsi="Avenir Book" w:cs="Avenir Book"/>
                <w:sz w:val="22"/>
              </w:rPr>
              <w:t>, the Securities Clearing Center Company (Muqassa), the Securities Depository Center Company (Edaa)</w:t>
            </w:r>
            <w:r w:rsidR="00D7520D">
              <w:rPr>
                <w:rFonts w:ascii="Avenir Book" w:hAnsi="Avenir Book" w:cs="Avenir Book"/>
                <w:sz w:val="22"/>
              </w:rPr>
              <w:t>,</w:t>
            </w:r>
            <w:r w:rsidRPr="003A3276">
              <w:rPr>
                <w:rFonts w:ascii="Avenir Book" w:hAnsi="Avenir Book" w:cs="Avenir Book"/>
                <w:sz w:val="22"/>
              </w:rPr>
              <w:t xml:space="preserve"> and Wamid – a new innovative applied technology services business, focused on providing innovation and nascent technologies within the Saudi economy through pragmatic innovation.</w:t>
            </w:r>
          </w:p>
          <w:p w14:paraId="25FF074D" w14:textId="7D1AC688" w:rsidR="00E821CC" w:rsidRPr="003A3276" w:rsidRDefault="00E821CC" w:rsidP="001C71BE">
            <w:pPr>
              <w:spacing w:after="240"/>
              <w:ind w:right="-46"/>
              <w:jc w:val="both"/>
              <w:rPr>
                <w:rFonts w:ascii="Avenir Book" w:hAnsi="Avenir Book" w:cs="Avenir Book"/>
                <w:sz w:val="22"/>
              </w:rPr>
            </w:pPr>
            <w:r w:rsidRPr="003A3276">
              <w:rPr>
                <w:rFonts w:ascii="Avenir Book" w:hAnsi="Avenir Book" w:cs="Avenir Book"/>
                <w:sz w:val="22"/>
              </w:rPr>
              <w:t>The launch of Wamid will add depth and diversity to the Saudi Tadawul Group and its subsidiaries' offerings,</w:t>
            </w:r>
            <w:r w:rsidR="00D7520D">
              <w:rPr>
                <w:rFonts w:ascii="Avenir Book" w:hAnsi="Avenir Book" w:cs="Avenir Book"/>
                <w:sz w:val="22"/>
              </w:rPr>
              <w:t xml:space="preserve"> </w:t>
            </w:r>
            <w:r w:rsidRPr="003A3276">
              <w:rPr>
                <w:rFonts w:ascii="Avenir Book" w:hAnsi="Avenir Book" w:cs="Avenir Book"/>
                <w:sz w:val="22"/>
              </w:rPr>
              <w:t xml:space="preserve">strengthen market infrastructure through innovative solutions, and capture expansion opportunities through targeted investments in </w:t>
            </w:r>
            <w:r w:rsidRPr="003A3276">
              <w:rPr>
                <w:rFonts w:ascii="Avenir Book" w:hAnsi="Avenir Book" w:cs="Avenir Book"/>
                <w:sz w:val="22"/>
                <w:lang w:bidi="ar-AE"/>
              </w:rPr>
              <w:t>an array of sectors and industries</w:t>
            </w:r>
            <w:r w:rsidRPr="003A3276">
              <w:rPr>
                <w:rFonts w:ascii="Avenir Book" w:hAnsi="Avenir Book" w:cs="Avenir Book"/>
                <w:sz w:val="22"/>
              </w:rPr>
              <w:t xml:space="preserve">. It will increase the Saudi capital market's attractiveness among global investors and reinforce its position as the </w:t>
            </w:r>
            <w:bookmarkStart w:id="0" w:name="_Hlk68168143"/>
            <w:r w:rsidRPr="003A3276">
              <w:rPr>
                <w:rFonts w:ascii="Avenir Book" w:hAnsi="Avenir Book" w:cs="Avenir Book"/>
                <w:sz w:val="22"/>
              </w:rPr>
              <w:t>issuers' exchange of choice</w:t>
            </w:r>
            <w:bookmarkEnd w:id="0"/>
            <w:r w:rsidRPr="003A3276">
              <w:rPr>
                <w:rFonts w:ascii="Avenir Book" w:hAnsi="Avenir Book" w:cs="Avenir Book"/>
                <w:sz w:val="22"/>
              </w:rPr>
              <w:t>.</w:t>
            </w:r>
            <w:bookmarkStart w:id="1" w:name="_Hlk65787302"/>
          </w:p>
          <w:p w14:paraId="67697B82" w14:textId="073F4DBD" w:rsidR="00E821CC" w:rsidRPr="003A3276" w:rsidRDefault="00E821CC" w:rsidP="001C71BE">
            <w:pPr>
              <w:spacing w:after="240"/>
              <w:ind w:right="-46"/>
              <w:jc w:val="both"/>
              <w:rPr>
                <w:rFonts w:ascii="Avenir Book" w:hAnsi="Avenir Book" w:cs="Avenir Book"/>
                <w:sz w:val="22"/>
              </w:rPr>
            </w:pPr>
            <w:r w:rsidRPr="003A3276">
              <w:rPr>
                <w:rFonts w:ascii="Avenir Book" w:hAnsi="Avenir Book" w:cs="Avenir Book"/>
                <w:sz w:val="22"/>
              </w:rPr>
              <w:t>The Group will benefit from the integration and synergies between its subsidiaries, ensuring efficient intra-group operations across the organization. The operational independence of each subsidiary will create an agile environment supporting rapid responses to evolving global and local market trends. It will also facilitate the introduction of best-in-class services to all market participants, diversification of investment opportunities, and the continued development of the Saudi capital market, its infrastructure, and members</w:t>
            </w:r>
            <w:r w:rsidR="00BA5B44">
              <w:rPr>
                <w:rFonts w:ascii="Avenir Book" w:hAnsi="Avenir Book" w:cs="Avenir Book"/>
                <w:sz w:val="22"/>
              </w:rPr>
              <w:t>’</w:t>
            </w:r>
            <w:r w:rsidRPr="003A3276">
              <w:rPr>
                <w:rFonts w:ascii="Avenir Book" w:hAnsi="Avenir Book" w:cs="Avenir Book"/>
                <w:sz w:val="22"/>
              </w:rPr>
              <w:t xml:space="preserve"> offerings.</w:t>
            </w:r>
          </w:p>
          <w:p w14:paraId="1E0358B0" w14:textId="1F4833AA" w:rsidR="00E821CC" w:rsidRPr="003A3276" w:rsidRDefault="00E821CC" w:rsidP="001C71BE">
            <w:pPr>
              <w:spacing w:after="240"/>
              <w:ind w:right="-46"/>
              <w:jc w:val="both"/>
              <w:rPr>
                <w:rFonts w:ascii="Avenir Book" w:hAnsi="Avenir Book" w:cs="Avenir Book"/>
                <w:sz w:val="22"/>
              </w:rPr>
            </w:pPr>
            <w:r w:rsidRPr="003A3276">
              <w:rPr>
                <w:rFonts w:ascii="Avenir Book" w:hAnsi="Avenir Book" w:cs="Avenir Book"/>
                <w:sz w:val="22"/>
              </w:rPr>
              <w:t>To lead this Group structure, Sarah Al-Suhaimi, current Chairperson of Tadawul's Board of Directors, will become Chairperson of the Saudi Tadawul Group, and Eng. Khalid Al-Hussan will become the Group's Chief Executive Officer.</w:t>
            </w:r>
            <w:r w:rsidRPr="003A3276">
              <w:rPr>
                <w:rFonts w:ascii="Avenir Book" w:hAnsi="Avenir Book" w:cs="Avenir Book"/>
                <w:sz w:val="22"/>
                <w:rtl/>
              </w:rPr>
              <w:t xml:space="preserve"> </w:t>
            </w:r>
          </w:p>
          <w:p w14:paraId="78A4118D" w14:textId="12B50006" w:rsidR="00E821CC" w:rsidRPr="003A3276" w:rsidRDefault="00E821CC" w:rsidP="001C71BE">
            <w:pPr>
              <w:spacing w:after="240"/>
              <w:ind w:right="-46"/>
              <w:jc w:val="both"/>
              <w:rPr>
                <w:rFonts w:ascii="Avenir Book" w:hAnsi="Avenir Book" w:cs="Avenir Book"/>
                <w:sz w:val="22"/>
              </w:rPr>
            </w:pPr>
            <w:r w:rsidRPr="003A3276">
              <w:rPr>
                <w:rFonts w:ascii="Avenir Book" w:hAnsi="Avenir Book" w:cs="Avenir Book"/>
                <w:sz w:val="22"/>
              </w:rPr>
              <w:t>Mohammed Al-Rumaih, who has more than</w:t>
            </w:r>
            <w:r w:rsidRPr="003A3276" w:rsidDel="00EC0BBA">
              <w:rPr>
                <w:rFonts w:ascii="Avenir Book" w:hAnsi="Avenir Book" w:cs="Avenir Book"/>
                <w:sz w:val="22"/>
              </w:rPr>
              <w:t xml:space="preserve"> </w:t>
            </w:r>
            <w:r w:rsidRPr="003A3276">
              <w:rPr>
                <w:rFonts w:ascii="Avenir Book" w:hAnsi="Avenir Book" w:cs="Avenir Book"/>
                <w:sz w:val="22"/>
              </w:rPr>
              <w:t>17 years of experience in the financial sector, has been appointed as Chief Executive Officer of (Saudi Exchange). Previously, Al-Rumaih held various administrative and leadership positions in Tadawul, and oversaw the development of several financial instruments, major listings</w:t>
            </w:r>
            <w:r w:rsidR="00D211C3">
              <w:rPr>
                <w:rFonts w:ascii="Avenir Book" w:hAnsi="Avenir Book" w:cs="Avenir Book"/>
                <w:sz w:val="22"/>
              </w:rPr>
              <w:t>,</w:t>
            </w:r>
            <w:r w:rsidRPr="003A3276">
              <w:rPr>
                <w:rFonts w:ascii="Avenir Book" w:hAnsi="Avenir Book" w:cs="Avenir Book"/>
                <w:sz w:val="22"/>
              </w:rPr>
              <w:t xml:space="preserve"> and marketing initiatives.</w:t>
            </w:r>
          </w:p>
          <w:p w14:paraId="101DC502" w14:textId="089BF53D" w:rsidR="00E821CC" w:rsidRPr="003A3276" w:rsidRDefault="00E821CC" w:rsidP="00D81BFF">
            <w:pPr>
              <w:spacing w:after="240"/>
              <w:ind w:right="-46"/>
              <w:jc w:val="both"/>
              <w:rPr>
                <w:rFonts w:ascii="Avenir Book" w:hAnsi="Avenir Book" w:cs="Avenir Book"/>
                <w:sz w:val="22"/>
                <w:rtl/>
              </w:rPr>
            </w:pPr>
            <w:r w:rsidRPr="003A3276">
              <w:rPr>
                <w:rFonts w:ascii="Avenir Book" w:hAnsi="Avenir Book" w:cs="Avenir Book"/>
                <w:sz w:val="22"/>
              </w:rPr>
              <w:lastRenderedPageBreak/>
              <w:t>Furthermore, Mohammed Al</w:t>
            </w:r>
            <w:r w:rsidR="008E1056">
              <w:rPr>
                <w:rFonts w:ascii="Avenir Book" w:hAnsi="Avenir Book" w:cs="Avenir Book"/>
                <w:sz w:val="22"/>
              </w:rPr>
              <w:t xml:space="preserve"> </w:t>
            </w:r>
            <w:r w:rsidRPr="003A3276">
              <w:rPr>
                <w:rFonts w:ascii="Avenir Book" w:hAnsi="Avenir Book" w:cs="Avenir Book"/>
                <w:sz w:val="22"/>
              </w:rPr>
              <w:t>-Nor</w:t>
            </w:r>
            <w:r w:rsidR="00D81BFF">
              <w:rPr>
                <w:rFonts w:ascii="Avenir Book" w:hAnsi="Avenir Book" w:cs="Avenir Book"/>
                <w:sz w:val="22"/>
              </w:rPr>
              <w:t>y</w:t>
            </w:r>
            <w:r w:rsidRPr="003A3276">
              <w:rPr>
                <w:rFonts w:ascii="Avenir Book" w:hAnsi="Avenir Book" w:cs="Avenir Book"/>
                <w:sz w:val="22"/>
              </w:rPr>
              <w:t xml:space="preserve"> has been appointed as Chief Executive Officer of (Wamid). Al-No</w:t>
            </w:r>
            <w:r w:rsidR="00B328B7">
              <w:rPr>
                <w:rFonts w:ascii="Avenir Book" w:hAnsi="Avenir Book" w:cs="Avenir Book"/>
                <w:sz w:val="22"/>
              </w:rPr>
              <w:t>ry</w:t>
            </w:r>
            <w:r w:rsidRPr="003A3276">
              <w:rPr>
                <w:rFonts w:ascii="Avenir Book" w:hAnsi="Avenir Book" w:cs="Avenir Book"/>
                <w:sz w:val="22"/>
              </w:rPr>
              <w:t xml:space="preserve"> brings 16 years of experience in commercial and investment banking, with a wealth of knowledge in corporate finance, business development</w:t>
            </w:r>
            <w:r w:rsidR="00D211C3">
              <w:rPr>
                <w:rFonts w:ascii="Avenir Book" w:hAnsi="Avenir Book" w:cs="Avenir Book"/>
                <w:sz w:val="22"/>
              </w:rPr>
              <w:t>,</w:t>
            </w:r>
            <w:r w:rsidRPr="003A3276">
              <w:rPr>
                <w:rFonts w:ascii="Avenir Book" w:hAnsi="Avenir Book" w:cs="Avenir Book"/>
                <w:sz w:val="22"/>
              </w:rPr>
              <w:t xml:space="preserve"> and </w:t>
            </w:r>
            <w:r w:rsidR="00D211C3">
              <w:rPr>
                <w:rFonts w:ascii="Avenir Book" w:hAnsi="Avenir Book" w:cs="Avenir Book"/>
                <w:sz w:val="22"/>
              </w:rPr>
              <w:t>c</w:t>
            </w:r>
            <w:r w:rsidRPr="003A3276">
              <w:rPr>
                <w:rFonts w:ascii="Avenir Book" w:hAnsi="Avenir Book" w:cs="Avenir Book"/>
                <w:sz w:val="22"/>
              </w:rPr>
              <w:t xml:space="preserve">apital </w:t>
            </w:r>
            <w:r w:rsidR="00D211C3">
              <w:rPr>
                <w:rFonts w:ascii="Avenir Book" w:hAnsi="Avenir Book" w:cs="Avenir Book"/>
                <w:sz w:val="22"/>
              </w:rPr>
              <w:t>m</w:t>
            </w:r>
            <w:r w:rsidRPr="003A3276">
              <w:rPr>
                <w:rFonts w:ascii="Avenir Book" w:hAnsi="Avenir Book" w:cs="Avenir Book"/>
                <w:sz w:val="22"/>
              </w:rPr>
              <w:t>arket</w:t>
            </w:r>
            <w:r w:rsidR="00B328B7">
              <w:rPr>
                <w:rFonts w:ascii="Avenir Book" w:hAnsi="Avenir Book" w:cs="Avenir Book"/>
                <w:sz w:val="22"/>
              </w:rPr>
              <w:t>s’</w:t>
            </w:r>
            <w:r w:rsidRPr="003A3276">
              <w:rPr>
                <w:rFonts w:ascii="Avenir Book" w:hAnsi="Avenir Book" w:cs="Avenir Book"/>
                <w:sz w:val="22"/>
              </w:rPr>
              <w:t xml:space="preserve"> products.  </w:t>
            </w:r>
          </w:p>
          <w:bookmarkEnd w:id="1"/>
          <w:p w14:paraId="79286EDD" w14:textId="454BD0F4" w:rsidR="00E821CC" w:rsidRPr="003A3276" w:rsidRDefault="00E821CC" w:rsidP="006824B8">
            <w:pPr>
              <w:spacing w:after="240"/>
              <w:ind w:right="-46"/>
              <w:jc w:val="both"/>
              <w:rPr>
                <w:rFonts w:ascii="Avenir Book" w:hAnsi="Avenir Book" w:cs="Avenir Book"/>
                <w:sz w:val="22"/>
              </w:rPr>
            </w:pPr>
            <w:r w:rsidRPr="003A3276">
              <w:rPr>
                <w:rFonts w:ascii="Avenir Book" w:hAnsi="Avenir Book" w:cs="Avenir Book"/>
                <w:sz w:val="22"/>
              </w:rPr>
              <w:t xml:space="preserve">During a press conference held virtually today, </w:t>
            </w:r>
            <w:r w:rsidRPr="003A3276">
              <w:rPr>
                <w:rFonts w:ascii="Avenir Book" w:hAnsi="Avenir Book" w:cs="Avenir Book"/>
                <w:b/>
                <w:bCs/>
                <w:sz w:val="22"/>
              </w:rPr>
              <w:t>Sarah Al-Suhaimi, Chairperson Saudi Tadawul Group, said:</w:t>
            </w:r>
            <w:r w:rsidRPr="003A3276">
              <w:rPr>
                <w:rFonts w:ascii="Avenir Book" w:hAnsi="Avenir Book" w:cs="Avenir Book"/>
                <w:sz w:val="22"/>
              </w:rPr>
              <w:t xml:space="preserve"> "The transformation into the new structure under Saudi Tadawul Group will support the continued grow</w:t>
            </w:r>
            <w:r w:rsidR="006824B8">
              <w:rPr>
                <w:rFonts w:ascii="Avenir Book" w:hAnsi="Avenir Book" w:cs="Avenir Book"/>
                <w:sz w:val="22"/>
              </w:rPr>
              <w:t xml:space="preserve">th of the Saudi capital market and </w:t>
            </w:r>
            <w:r w:rsidRPr="003A3276">
              <w:rPr>
                <w:rFonts w:ascii="Avenir Book" w:hAnsi="Avenir Book" w:cs="Avenir Book"/>
                <w:sz w:val="22"/>
              </w:rPr>
              <w:t xml:space="preserve">reinforce its </w:t>
            </w:r>
            <w:r w:rsidR="00535D87">
              <w:rPr>
                <w:rFonts w:ascii="Avenir Book" w:hAnsi="Avenir Book" w:cs="Avenir Book"/>
                <w:sz w:val="22"/>
              </w:rPr>
              <w:t xml:space="preserve">position as a global </w:t>
            </w:r>
            <w:r w:rsidR="006824B8">
              <w:rPr>
                <w:rFonts w:ascii="Avenir Book" w:hAnsi="Avenir Book" w:cs="Avenir Book"/>
                <w:sz w:val="22"/>
              </w:rPr>
              <w:t xml:space="preserve">market leader </w:t>
            </w:r>
            <w:r w:rsidRPr="003A3276">
              <w:rPr>
                <w:rFonts w:ascii="Avenir Book" w:hAnsi="Avenir Book" w:cs="Avenir Book"/>
                <w:sz w:val="22"/>
              </w:rPr>
              <w:t>and advanced capital market."</w:t>
            </w:r>
          </w:p>
          <w:p w14:paraId="5BCAD94D" w14:textId="0A10BE48" w:rsidR="00E821CC" w:rsidRPr="003A3276" w:rsidRDefault="00E821CC" w:rsidP="001C71BE">
            <w:pPr>
              <w:spacing w:after="240"/>
              <w:ind w:right="-46"/>
              <w:jc w:val="both"/>
              <w:rPr>
                <w:rFonts w:ascii="Avenir Book" w:hAnsi="Avenir Book" w:cs="Avenir Book"/>
                <w:b/>
                <w:bCs/>
                <w:sz w:val="22"/>
              </w:rPr>
            </w:pPr>
            <w:r w:rsidRPr="003A3276">
              <w:rPr>
                <w:rFonts w:ascii="Avenir Book" w:hAnsi="Avenir Book" w:cs="Avenir Book"/>
                <w:sz w:val="22"/>
              </w:rPr>
              <w:t xml:space="preserve">"This is a significant achievement in our journey to transform Saudi Arabia's economy. </w:t>
            </w:r>
            <w:r w:rsidR="00747449" w:rsidRPr="00747449">
              <w:rPr>
                <w:rFonts w:ascii="Avenir Book" w:hAnsi="Avenir Book" w:cs="Avenir Book"/>
                <w:sz w:val="22"/>
              </w:rPr>
              <w:t>Comprehensive capital market reforms are not only prudent but essential to ensuring higher economic growth, to achieving the nation-wide goal of the successful delivery of Saudi's Vision 2030</w:t>
            </w:r>
            <w:r w:rsidR="005A5C40">
              <w:rPr>
                <w:rFonts w:ascii="Avenir Book" w:hAnsi="Avenir Book" w:cs="Avenir Book"/>
                <w:sz w:val="22"/>
              </w:rPr>
              <w:t>,</w:t>
            </w:r>
            <w:r w:rsidR="00747449" w:rsidRPr="00747449">
              <w:rPr>
                <w:rFonts w:ascii="Avenir Book" w:hAnsi="Avenir Book" w:cs="Avenir Book"/>
                <w:sz w:val="22"/>
              </w:rPr>
              <w:t xml:space="preserve"> and to align with the strategy of the Public Investment Fund (PIF).</w:t>
            </w:r>
            <w:r w:rsidR="00747449">
              <w:rPr>
                <w:rFonts w:ascii="Avenir Book" w:hAnsi="Avenir Book" w:cs="Avenir Book"/>
                <w:sz w:val="22"/>
              </w:rPr>
              <w:t>”</w:t>
            </w:r>
            <w:r w:rsidRPr="006952AD">
              <w:rPr>
                <w:rFonts w:ascii="Avenir Book" w:hAnsi="Avenir Book" w:cs="Avenir Book"/>
                <w:sz w:val="22"/>
              </w:rPr>
              <w:t xml:space="preserve"> </w:t>
            </w:r>
            <w:r w:rsidRPr="006952AD">
              <w:rPr>
                <w:rFonts w:ascii="Avenir Book" w:hAnsi="Avenir Book" w:cs="Avenir Book"/>
                <w:b/>
                <w:bCs/>
                <w:sz w:val="22"/>
              </w:rPr>
              <w:t>Al-Suhaimi added.</w:t>
            </w:r>
          </w:p>
          <w:p w14:paraId="4F7ADAFB" w14:textId="1AC64DB2" w:rsidR="00E821CC" w:rsidRPr="003A3276" w:rsidRDefault="00E821CC" w:rsidP="00DB1FAF">
            <w:pPr>
              <w:spacing w:after="240"/>
              <w:ind w:right="-46"/>
              <w:jc w:val="both"/>
              <w:rPr>
                <w:rFonts w:ascii="Avenir Book" w:hAnsi="Avenir Book" w:cs="Avenir Book"/>
                <w:sz w:val="22"/>
              </w:rPr>
            </w:pPr>
            <w:r w:rsidRPr="003A3276">
              <w:rPr>
                <w:rFonts w:ascii="Avenir Book" w:hAnsi="Avenir Book" w:cs="Avenir Book"/>
                <w:b/>
                <w:bCs/>
                <w:sz w:val="22"/>
              </w:rPr>
              <w:t>Eng. Khalid Al-Hussan, CEO of Saudi Tadawul Group, commented:</w:t>
            </w:r>
            <w:r w:rsidRPr="003A3276">
              <w:rPr>
                <w:rFonts w:ascii="Avenir Book" w:hAnsi="Avenir Book" w:cs="Avenir Book"/>
                <w:sz w:val="22"/>
              </w:rPr>
              <w:t xml:space="preserve"> "The new structure will enable us to deliver high-quality services across all </w:t>
            </w:r>
            <w:r w:rsidR="005A5C40">
              <w:rPr>
                <w:rFonts w:ascii="Avenir Book" w:hAnsi="Avenir Book" w:cs="Avenir Book"/>
                <w:sz w:val="22"/>
              </w:rPr>
              <w:t xml:space="preserve">of </w:t>
            </w:r>
            <w:r w:rsidRPr="003A3276">
              <w:rPr>
                <w:rFonts w:ascii="Avenir Book" w:hAnsi="Avenir Book" w:cs="Avenir Book"/>
                <w:sz w:val="22"/>
              </w:rPr>
              <w:t xml:space="preserve">our business lines, increase our competitiveness, and align our capital market with the rapid growth of </w:t>
            </w:r>
            <w:r w:rsidR="008F398F">
              <w:rPr>
                <w:rFonts w:ascii="Avenir Book" w:hAnsi="Avenir Book" w:cs="Avenir Book"/>
                <w:sz w:val="22"/>
              </w:rPr>
              <w:t>e</w:t>
            </w:r>
            <w:r w:rsidRPr="003A3276">
              <w:rPr>
                <w:rFonts w:ascii="Avenir Book" w:hAnsi="Avenir Book" w:cs="Avenir Book"/>
                <w:sz w:val="22"/>
              </w:rPr>
              <w:t xml:space="preserve">merging </w:t>
            </w:r>
            <w:r w:rsidR="008F398F">
              <w:rPr>
                <w:rFonts w:ascii="Avenir Book" w:hAnsi="Avenir Book" w:cs="Avenir Book"/>
                <w:sz w:val="22"/>
              </w:rPr>
              <w:t>m</w:t>
            </w:r>
            <w:r w:rsidRPr="003A3276">
              <w:rPr>
                <w:rFonts w:ascii="Avenir Book" w:hAnsi="Avenir Book" w:cs="Avenir Book"/>
                <w:sz w:val="22"/>
              </w:rPr>
              <w:t>arkets. I'm confident that the Saudi Tadawul Group and its subsidiary companies will shape what comes next in terms of capital market development in Saudi Arabia, serving as the bridge connecting global investors and regional economies. The transformation provides a strong platform for the Saudi Tadawul Group's IPO</w:t>
            </w:r>
            <w:r w:rsidR="005A5C40">
              <w:rPr>
                <w:rFonts w:ascii="Avenir Book" w:hAnsi="Avenir Book" w:cs="Avenir Book"/>
                <w:sz w:val="22"/>
              </w:rPr>
              <w:t>.</w:t>
            </w:r>
            <w:r w:rsidRPr="003A3276">
              <w:rPr>
                <w:rFonts w:ascii="Avenir Book" w:hAnsi="Avenir Book" w:cs="Avenir Book"/>
                <w:sz w:val="22"/>
              </w:rPr>
              <w:t>"</w:t>
            </w:r>
          </w:p>
          <w:p w14:paraId="372FAFFE" w14:textId="1E07352C" w:rsidR="00E821CC" w:rsidRPr="003A3276" w:rsidRDefault="00E821CC" w:rsidP="001C71BE">
            <w:pPr>
              <w:spacing w:after="240"/>
              <w:ind w:right="-46"/>
              <w:jc w:val="both"/>
              <w:rPr>
                <w:rFonts w:ascii="Avenir Book" w:hAnsi="Avenir Book" w:cs="Avenir Book"/>
                <w:sz w:val="22"/>
              </w:rPr>
            </w:pPr>
            <w:r w:rsidRPr="003A3276">
              <w:rPr>
                <w:rFonts w:ascii="Avenir Book" w:hAnsi="Avenir Book" w:cs="Avenir Book"/>
                <w:b/>
                <w:bCs/>
                <w:sz w:val="22"/>
              </w:rPr>
              <w:t>Al-</w:t>
            </w:r>
            <w:proofErr w:type="spellStart"/>
            <w:r w:rsidRPr="003A3276">
              <w:rPr>
                <w:rFonts w:ascii="Avenir Book" w:hAnsi="Avenir Book" w:cs="Avenir Book"/>
                <w:b/>
                <w:bCs/>
                <w:sz w:val="22"/>
              </w:rPr>
              <w:t>Hussan</w:t>
            </w:r>
            <w:proofErr w:type="spellEnd"/>
            <w:r w:rsidRPr="003A3276">
              <w:rPr>
                <w:rFonts w:ascii="Avenir Book" w:hAnsi="Avenir Book" w:cs="Avenir Book"/>
                <w:b/>
                <w:bCs/>
                <w:sz w:val="22"/>
              </w:rPr>
              <w:t xml:space="preserve"> </w:t>
            </w:r>
            <w:r w:rsidR="005A5C40">
              <w:rPr>
                <w:rFonts w:ascii="Avenir Book" w:hAnsi="Avenir Book" w:cs="Avenir Book"/>
                <w:b/>
                <w:bCs/>
                <w:sz w:val="22"/>
              </w:rPr>
              <w:t>c</w:t>
            </w:r>
            <w:r w:rsidRPr="003A3276">
              <w:rPr>
                <w:rFonts w:ascii="Avenir Book" w:hAnsi="Avenir Book" w:cs="Avenir Book"/>
                <w:b/>
                <w:bCs/>
                <w:sz w:val="22"/>
              </w:rPr>
              <w:t>ontinued:</w:t>
            </w:r>
            <w:r w:rsidRPr="003A3276">
              <w:rPr>
                <w:rFonts w:ascii="Avenir Book" w:hAnsi="Avenir Book" w:cs="Avenir Book"/>
                <w:sz w:val="22"/>
              </w:rPr>
              <w:t xml:space="preserve"> "The transformation into a group is part of a continuous development program. The development program is focused on enhancing the capital market, attracting foreign investments</w:t>
            </w:r>
            <w:r w:rsidR="005A5C40">
              <w:rPr>
                <w:rFonts w:ascii="Avenir Book" w:hAnsi="Avenir Book" w:cs="Avenir Book"/>
                <w:sz w:val="22"/>
              </w:rPr>
              <w:t>,</w:t>
            </w:r>
            <w:r w:rsidRPr="003A3276">
              <w:rPr>
                <w:rFonts w:ascii="Avenir Book" w:hAnsi="Avenir Book" w:cs="Avenir Book"/>
                <w:sz w:val="22"/>
              </w:rPr>
              <w:t xml:space="preserve"> and diversifying the economy, while supporting issuers and investors to achieve their ambitions and providing them with access to attractive investment opportunities, in what is considered the region's next financial capital</w:t>
            </w:r>
            <w:r w:rsidR="005A5C40">
              <w:rPr>
                <w:rFonts w:ascii="Avenir Book" w:hAnsi="Avenir Book" w:cs="Avenir Book"/>
                <w:sz w:val="22"/>
              </w:rPr>
              <w:t>.</w:t>
            </w:r>
            <w:r w:rsidRPr="003A3276">
              <w:rPr>
                <w:rFonts w:ascii="Avenir Book" w:hAnsi="Avenir Book" w:cs="Avenir Book"/>
                <w:sz w:val="22"/>
              </w:rPr>
              <w:t>"</w:t>
            </w:r>
          </w:p>
          <w:p w14:paraId="2318286B" w14:textId="77777777" w:rsidR="00E821CC" w:rsidRPr="003A3276" w:rsidRDefault="00E821CC" w:rsidP="00BA0ED6">
            <w:pPr>
              <w:jc w:val="center"/>
              <w:rPr>
                <w:rFonts w:ascii="Avenir Book" w:hAnsi="Avenir Book" w:cs="Avenir Book"/>
                <w:b/>
                <w:bCs/>
                <w:sz w:val="22"/>
              </w:rPr>
            </w:pPr>
            <w:r w:rsidRPr="003A3276">
              <w:rPr>
                <w:rFonts w:ascii="Avenir Book" w:hAnsi="Avenir Book" w:cs="Avenir Book"/>
                <w:b/>
                <w:bCs/>
                <w:sz w:val="22"/>
              </w:rPr>
              <w:t>ENDS</w:t>
            </w:r>
          </w:p>
          <w:p w14:paraId="70D35B92" w14:textId="77777777" w:rsidR="00E821CC" w:rsidRPr="003A3276" w:rsidRDefault="00E821CC" w:rsidP="00BA0ED6">
            <w:pPr>
              <w:jc w:val="center"/>
              <w:rPr>
                <w:rFonts w:ascii="Avenir Book" w:hAnsi="Avenir Book" w:cs="Avenir Book"/>
                <w:sz w:val="26"/>
                <w:szCs w:val="26"/>
                <w:rtl/>
              </w:rPr>
            </w:pPr>
          </w:p>
          <w:p w14:paraId="26526A9D" w14:textId="77777777" w:rsidR="00887D33" w:rsidRDefault="00887D33" w:rsidP="00BA0ED6">
            <w:pPr>
              <w:rPr>
                <w:rFonts w:ascii="Avenir Book" w:hAnsi="Avenir Book" w:cs="Avenir Book"/>
                <w:b/>
                <w:bCs/>
                <w:color w:val="0045E3"/>
                <w:sz w:val="20"/>
                <w:szCs w:val="20"/>
                <w:rtl/>
              </w:rPr>
            </w:pPr>
          </w:p>
          <w:p w14:paraId="26787D3D" w14:textId="35AF6F6D" w:rsidR="00E821CC" w:rsidRPr="003A3276" w:rsidRDefault="00E821CC" w:rsidP="00BA0ED6">
            <w:pPr>
              <w:rPr>
                <w:rFonts w:ascii="Avenir Book" w:hAnsi="Avenir Book" w:cs="Avenir Book"/>
                <w:b/>
                <w:bCs/>
                <w:color w:val="0045E3"/>
                <w:sz w:val="20"/>
                <w:szCs w:val="20"/>
              </w:rPr>
            </w:pPr>
            <w:r w:rsidRPr="003A3276">
              <w:rPr>
                <w:rFonts w:ascii="Avenir Book" w:hAnsi="Avenir Book" w:cs="Avenir Book"/>
                <w:b/>
                <w:bCs/>
                <w:color w:val="0045E3"/>
                <w:sz w:val="20"/>
                <w:szCs w:val="20"/>
              </w:rPr>
              <w:t>For more information and any media enquiries:</w:t>
            </w:r>
          </w:p>
          <w:p w14:paraId="776960A1" w14:textId="77777777" w:rsidR="00E821CC" w:rsidRPr="003A3276" w:rsidRDefault="00E821CC" w:rsidP="00BA0ED6">
            <w:pPr>
              <w:jc w:val="both"/>
              <w:rPr>
                <w:rFonts w:ascii="Avenir Book" w:eastAsia="Calibri" w:hAnsi="Avenir Book" w:cs="Avenir Book"/>
                <w:sz w:val="20"/>
                <w:szCs w:val="20"/>
              </w:rPr>
            </w:pPr>
            <w:r w:rsidRPr="003A3276">
              <w:rPr>
                <w:rFonts w:ascii="Avenir Book" w:eastAsia="Calibri" w:hAnsi="Avenir Book" w:cs="Avenir Book"/>
                <w:b/>
                <w:sz w:val="20"/>
                <w:szCs w:val="20"/>
              </w:rPr>
              <w:t>Saudi Tadawul Group contact</w:t>
            </w:r>
            <w:r w:rsidRPr="003A3276">
              <w:rPr>
                <w:rFonts w:ascii="Avenir Book" w:eastAsia="Calibri" w:hAnsi="Avenir Book" w:cs="Avenir Book"/>
                <w:sz w:val="20"/>
                <w:szCs w:val="20"/>
              </w:rPr>
              <w:t>:</w:t>
            </w:r>
          </w:p>
          <w:p w14:paraId="20ACE7AB" w14:textId="77777777" w:rsidR="00E821CC" w:rsidRPr="003A3276" w:rsidRDefault="00E821CC" w:rsidP="00BA0ED6">
            <w:pPr>
              <w:rPr>
                <w:rFonts w:ascii="Avenir Book" w:eastAsia="Calibri" w:hAnsi="Avenir Book" w:cs="Avenir Book"/>
                <w:sz w:val="20"/>
                <w:szCs w:val="20"/>
              </w:rPr>
            </w:pPr>
            <w:r w:rsidRPr="003A3276">
              <w:rPr>
                <w:rFonts w:ascii="Avenir Book" w:eastAsia="Calibri" w:hAnsi="Avenir Book" w:cs="Avenir Book"/>
                <w:sz w:val="20"/>
                <w:szCs w:val="20"/>
              </w:rPr>
              <w:t>Asma Alghamdi</w:t>
            </w:r>
          </w:p>
          <w:p w14:paraId="2440433F" w14:textId="77777777" w:rsidR="00E821CC" w:rsidRPr="003A3276" w:rsidRDefault="00E821CC" w:rsidP="00BA0ED6">
            <w:pPr>
              <w:rPr>
                <w:rFonts w:ascii="Avenir Book" w:eastAsia="Calibri" w:hAnsi="Avenir Book" w:cs="Avenir Book"/>
                <w:sz w:val="20"/>
                <w:szCs w:val="20"/>
              </w:rPr>
            </w:pPr>
            <w:r w:rsidRPr="003A3276">
              <w:rPr>
                <w:rFonts w:ascii="Avenir Book" w:eastAsia="Calibri" w:hAnsi="Avenir Book" w:cs="Avenir Book"/>
                <w:sz w:val="20"/>
                <w:szCs w:val="20"/>
              </w:rPr>
              <w:t>+966 (55) 225-4223</w:t>
            </w:r>
          </w:p>
          <w:p w14:paraId="50607D3C" w14:textId="77777777" w:rsidR="00E821CC" w:rsidRPr="003A3276" w:rsidRDefault="008B7591" w:rsidP="00BA0ED6">
            <w:pPr>
              <w:rPr>
                <w:rFonts w:ascii="Avenir Book" w:hAnsi="Avenir Book" w:cs="Avenir Book"/>
                <w:sz w:val="20"/>
                <w:szCs w:val="20"/>
              </w:rPr>
            </w:pPr>
            <w:hyperlink r:id="rId8" w:history="1">
              <w:r w:rsidR="00E821CC" w:rsidRPr="003A3276">
                <w:rPr>
                  <w:rFonts w:ascii="Avenir Book" w:hAnsi="Avenir Book" w:cs="Avenir Book"/>
                  <w:color w:val="0563C1" w:themeColor="hyperlink"/>
                  <w:sz w:val="20"/>
                  <w:szCs w:val="20"/>
                  <w:u w:val="single"/>
                </w:rPr>
                <w:t>Asma.Ghamdi@Tadawul.com.sa</w:t>
              </w:r>
            </w:hyperlink>
            <w:r w:rsidR="00E821CC" w:rsidRPr="003A3276">
              <w:rPr>
                <w:rFonts w:ascii="Avenir Book" w:hAnsi="Avenir Book" w:cs="Avenir Book"/>
                <w:sz w:val="20"/>
                <w:szCs w:val="20"/>
              </w:rPr>
              <w:t xml:space="preserve"> </w:t>
            </w:r>
          </w:p>
          <w:p w14:paraId="20B14D3A" w14:textId="77777777" w:rsidR="00E821CC" w:rsidRPr="003A3276" w:rsidRDefault="00E821CC" w:rsidP="00BA0ED6">
            <w:pPr>
              <w:rPr>
                <w:rFonts w:ascii="Avenir Book" w:hAnsi="Avenir Book" w:cs="Avenir Book"/>
                <w:sz w:val="20"/>
                <w:szCs w:val="20"/>
              </w:rPr>
            </w:pPr>
          </w:p>
          <w:p w14:paraId="4CEC6929" w14:textId="77777777" w:rsidR="00E821CC" w:rsidRPr="003A3276" w:rsidRDefault="00E821CC" w:rsidP="00BA0ED6">
            <w:pPr>
              <w:bidi/>
              <w:jc w:val="right"/>
              <w:rPr>
                <w:rFonts w:ascii="Avenir Book" w:eastAsia="Calibri" w:hAnsi="Avenir Book" w:cs="Avenir Book"/>
                <w:b/>
                <w:sz w:val="20"/>
                <w:szCs w:val="20"/>
              </w:rPr>
            </w:pPr>
            <w:r w:rsidRPr="003A3276">
              <w:rPr>
                <w:rFonts w:ascii="Avenir Book" w:eastAsia="Calibri" w:hAnsi="Avenir Book" w:cs="Avenir Book"/>
                <w:b/>
                <w:sz w:val="20"/>
                <w:szCs w:val="20"/>
              </w:rPr>
              <w:t>Fin</w:t>
            </w:r>
            <w:r w:rsidRPr="003A3276">
              <w:rPr>
                <w:rFonts w:ascii="Avenir Book" w:eastAsia="Calibri" w:hAnsi="Avenir Book" w:cs="Avenir Book"/>
                <w:b/>
                <w:bCs/>
                <w:sz w:val="20"/>
                <w:szCs w:val="20"/>
              </w:rPr>
              <w:t xml:space="preserve">sbury Glover Hering </w:t>
            </w:r>
            <w:r w:rsidRPr="003A3276">
              <w:rPr>
                <w:rFonts w:ascii="Avenir Book" w:eastAsia="Calibri" w:hAnsi="Avenir Book" w:cs="Avenir Book"/>
                <w:b/>
                <w:sz w:val="20"/>
                <w:szCs w:val="20"/>
              </w:rPr>
              <w:t>contact:</w:t>
            </w:r>
          </w:p>
          <w:p w14:paraId="248B217D" w14:textId="77777777" w:rsidR="00E821CC" w:rsidRPr="003A3276" w:rsidRDefault="00E821CC" w:rsidP="00BA0ED6">
            <w:pPr>
              <w:jc w:val="both"/>
              <w:rPr>
                <w:rFonts w:ascii="Avenir Book" w:eastAsia="Calibri" w:hAnsi="Avenir Book" w:cs="Avenir Book"/>
                <w:sz w:val="20"/>
                <w:szCs w:val="20"/>
                <w:lang w:val="da-DK"/>
              </w:rPr>
            </w:pPr>
            <w:r w:rsidRPr="003A3276">
              <w:rPr>
                <w:rFonts w:ascii="Avenir Book" w:eastAsia="Calibri" w:hAnsi="Avenir Book" w:cs="Avenir Book"/>
                <w:sz w:val="20"/>
                <w:szCs w:val="20"/>
                <w:lang w:val="da-DK"/>
              </w:rPr>
              <w:t>Ahmed Jebur</w:t>
            </w:r>
          </w:p>
          <w:p w14:paraId="089078DA" w14:textId="77777777" w:rsidR="00E821CC" w:rsidRPr="003A3276" w:rsidRDefault="00E821CC" w:rsidP="00BA0ED6">
            <w:pPr>
              <w:jc w:val="both"/>
              <w:rPr>
                <w:rFonts w:ascii="Avenir Book" w:eastAsia="Calibri" w:hAnsi="Avenir Book" w:cs="Avenir Book"/>
                <w:sz w:val="20"/>
                <w:szCs w:val="20"/>
                <w:lang w:val="da-DK"/>
              </w:rPr>
            </w:pPr>
            <w:r w:rsidRPr="003A3276">
              <w:rPr>
                <w:rFonts w:ascii="Avenir Book" w:eastAsia="Calibri" w:hAnsi="Avenir Book" w:cs="Avenir Book"/>
                <w:sz w:val="20"/>
                <w:szCs w:val="20"/>
                <w:lang w:val="da-DK"/>
              </w:rPr>
              <w:t>+971 (50) 737-7507</w:t>
            </w:r>
          </w:p>
          <w:p w14:paraId="2978FEC4" w14:textId="1BA47E0E" w:rsidR="00E821CC" w:rsidRDefault="008B7591" w:rsidP="00BA0ED6">
            <w:pPr>
              <w:jc w:val="both"/>
              <w:rPr>
                <w:rFonts w:ascii="Avenir Book" w:eastAsia="Calibri" w:hAnsi="Avenir Book" w:cs="Avenir Book"/>
                <w:color w:val="0563C1" w:themeColor="hyperlink"/>
                <w:sz w:val="20"/>
                <w:szCs w:val="20"/>
                <w:u w:val="single"/>
                <w:lang w:val="da-DK"/>
              </w:rPr>
            </w:pPr>
            <w:hyperlink r:id="rId9" w:history="1">
              <w:r w:rsidR="00E821CC" w:rsidRPr="003A3276">
                <w:rPr>
                  <w:rFonts w:ascii="Avenir Book" w:eastAsia="Calibri" w:hAnsi="Avenir Book" w:cs="Avenir Book"/>
                  <w:color w:val="0563C1" w:themeColor="hyperlink"/>
                  <w:sz w:val="20"/>
                  <w:szCs w:val="20"/>
                  <w:u w:val="single"/>
                  <w:lang w:val="da-DK"/>
                </w:rPr>
                <w:t>Ahmed.Jebur@FGH.com</w:t>
              </w:r>
            </w:hyperlink>
          </w:p>
          <w:p w14:paraId="21D26831" w14:textId="77777777" w:rsidR="00E821CC" w:rsidRPr="00F6745A" w:rsidRDefault="00E821CC" w:rsidP="00F6745A">
            <w:pPr>
              <w:jc w:val="both"/>
              <w:rPr>
                <w:rFonts w:ascii="Avenir Arabic Book" w:hAnsi="Avenir Arabic Book" w:cs="Avenir Arabic Medium"/>
                <w:sz w:val="26"/>
                <w:szCs w:val="26"/>
                <w:lang w:val="da-DK"/>
              </w:rPr>
            </w:pPr>
          </w:p>
        </w:tc>
      </w:tr>
    </w:tbl>
    <w:p w14:paraId="6459FA1B" w14:textId="4B2C2482" w:rsidR="00E015D4" w:rsidRDefault="00E015D4" w:rsidP="00BA0ED6">
      <w:pPr>
        <w:spacing w:after="0" w:line="240" w:lineRule="auto"/>
        <w:rPr>
          <w:rFonts w:ascii="Avenir Arabic Book" w:hAnsi="Avenir Arabic Book" w:cs="Avenir Arabic Medium"/>
          <w:sz w:val="26"/>
          <w:szCs w:val="26"/>
          <w:lang w:val="da-DK"/>
        </w:rPr>
      </w:pPr>
      <w:bookmarkStart w:id="2" w:name="_GoBack"/>
      <w:bookmarkEnd w:id="2"/>
    </w:p>
    <w:sectPr w:rsidR="00E015D4" w:rsidSect="00496EFE">
      <w:headerReference w:type="default" r:id="rId10"/>
      <w:footerReference w:type="default" r:id="rId11"/>
      <w:pgSz w:w="11906" w:h="16838" w:code="9"/>
      <w:pgMar w:top="1440" w:right="1440" w:bottom="1440" w:left="1440"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5FEC3" w14:textId="77777777" w:rsidR="008B7591" w:rsidRDefault="008B7591" w:rsidP="00107519">
      <w:pPr>
        <w:spacing w:after="0" w:line="240" w:lineRule="auto"/>
      </w:pPr>
      <w:r>
        <w:separator/>
      </w:r>
    </w:p>
  </w:endnote>
  <w:endnote w:type="continuationSeparator" w:id="0">
    <w:p w14:paraId="4C595417" w14:textId="77777777" w:rsidR="008B7591" w:rsidRDefault="008B7591" w:rsidP="0010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Sakkal Majalla">
    <w:altName w:val="Times New Roman"/>
    <w:charset w:val="B2"/>
    <w:family w:val="auto"/>
    <w:pitch w:val="variable"/>
    <w:sig w:usb0="80002007" w:usb1="80000000" w:usb2="00000008" w:usb3="00000000" w:csb0="000000D3" w:csb1="00000000"/>
  </w:font>
  <w:font w:name="DengXian Light">
    <w:altName w:val="等线 Light"/>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venir Book">
    <w:altName w:val="Arial"/>
    <w:panose1 w:val="00000000000000000000"/>
    <w:charset w:val="00"/>
    <w:family w:val="swiss"/>
    <w:notTrueType/>
    <w:pitch w:val="variable"/>
    <w:sig w:usb0="00000000" w:usb1="80000000" w:usb2="00000008" w:usb3="00000000" w:csb0="00000041" w:csb1="00000000"/>
  </w:font>
  <w:font w:name="Avenir Arabic Book">
    <w:altName w:val="Cambria"/>
    <w:panose1 w:val="020B0503020203020204"/>
    <w:charset w:val="00"/>
    <w:family w:val="swiss"/>
    <w:notTrueType/>
    <w:pitch w:val="variable"/>
    <w:sig w:usb0="A00020AF" w:usb1="C000A04A" w:usb2="00000008" w:usb3="00000000" w:csb0="00000041" w:csb1="00000000"/>
  </w:font>
  <w:font w:name="Avenir Arabic Medium">
    <w:altName w:val="Arial"/>
    <w:panose1 w:val="020B0603020203020204"/>
    <w:charset w:val="00"/>
    <w:family w:val="swiss"/>
    <w:notTrueType/>
    <w:pitch w:val="variable"/>
    <w:sig w:usb0="A00020AF" w:usb1="C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0BC0" w14:textId="2E6C1F1E" w:rsidR="00691DCC" w:rsidRPr="00691DCC" w:rsidRDefault="00691DCC" w:rsidP="00691DCC">
    <w:pPr>
      <w:pStyle w:val="Footer"/>
    </w:pPr>
    <w:r>
      <w:rPr>
        <w:noProof/>
      </w:rPr>
      <mc:AlternateContent>
        <mc:Choice Requires="wps">
          <w:drawing>
            <wp:anchor distT="45720" distB="45720" distL="114300" distR="114300" simplePos="0" relativeHeight="251660288" behindDoc="0" locked="0" layoutInCell="1" allowOverlap="1" wp14:anchorId="04F299A5" wp14:editId="451636BC">
              <wp:simplePos x="0" y="0"/>
              <wp:positionH relativeFrom="column">
                <wp:posOffset>-804545</wp:posOffset>
              </wp:positionH>
              <wp:positionV relativeFrom="paragraph">
                <wp:posOffset>784953</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5DF3900" w14:textId="5F730192" w:rsidR="00691DCC" w:rsidRPr="00691DCC" w:rsidRDefault="00691DCC" w:rsidP="00691DCC">
                          <w:pPr>
                            <w:pStyle w:val="Footer"/>
                            <w:rPr>
                              <w:rFonts w:ascii="Arial" w:hAnsi="Arial" w:cs="Arial"/>
                              <w:color w:val="001F33"/>
                            </w:rPr>
                          </w:pPr>
                          <w:r w:rsidRPr="00691DCC">
                            <w:rPr>
                              <w:rFonts w:ascii="Arial" w:hAnsi="Arial" w:cs="Arial"/>
                              <w:color w:val="001F33"/>
                            </w:rPr>
                            <w:t>Tadawulgroup.sa</w:t>
                          </w:r>
                        </w:p>
                        <w:p w14:paraId="402474F6" w14:textId="1B748084" w:rsidR="00691DCC" w:rsidRDefault="00691DC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F299A5" id="_x0000_t202" coordsize="21600,21600" o:spt="202" path="m,l,21600r21600,l21600,xe">
              <v:stroke joinstyle="miter"/>
              <v:path gradientshapeok="t" o:connecttype="rect"/>
            </v:shapetype>
            <v:shape id="Text Box 2" o:spid="_x0000_s1026" type="#_x0000_t202" style="position:absolute;margin-left:-63.35pt;margin-top:61.8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" filled="f" stroked="f">
              <v:textbox style="mso-fit-shape-to-text:t">
                <w:txbxContent>
                  <w:p w14:paraId="25DF3900" w14:textId="5F730192" w:rsidR="00691DCC" w:rsidRPr="00691DCC" w:rsidRDefault="00691DCC" w:rsidP="00691DCC">
                    <w:pPr>
                      <w:pStyle w:val="Footer"/>
                      <w:rPr>
                        <w:rFonts w:ascii="Arial" w:hAnsi="Arial" w:cs="Arial"/>
                        <w:color w:val="001F33"/>
                      </w:rPr>
                    </w:pPr>
                    <w:r w:rsidRPr="00691DCC">
                      <w:rPr>
                        <w:rFonts w:ascii="Arial" w:hAnsi="Arial" w:cs="Arial"/>
                        <w:color w:val="001F33"/>
                      </w:rPr>
                      <w:t>Tadawulgroup.sa</w:t>
                    </w:r>
                  </w:p>
                  <w:p w14:paraId="402474F6" w14:textId="1B748084" w:rsidR="00691DCC" w:rsidRDefault="00691DCC"/>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7E6AF" w14:textId="77777777" w:rsidR="008B7591" w:rsidRDefault="008B7591" w:rsidP="00107519">
      <w:pPr>
        <w:spacing w:after="0" w:line="240" w:lineRule="auto"/>
      </w:pPr>
      <w:r>
        <w:separator/>
      </w:r>
    </w:p>
  </w:footnote>
  <w:footnote w:type="continuationSeparator" w:id="0">
    <w:p w14:paraId="3762524A" w14:textId="77777777" w:rsidR="008B7591" w:rsidRDefault="008B7591" w:rsidP="00107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A265" w14:textId="41D755E4" w:rsidR="00691DCC" w:rsidRPr="00691DCC" w:rsidRDefault="00691DCC" w:rsidP="00691DCC">
    <w:pPr>
      <w:pStyle w:val="Header"/>
    </w:pPr>
    <w:r>
      <w:rPr>
        <w:noProof/>
      </w:rPr>
      <w:drawing>
        <wp:anchor distT="0" distB="0" distL="114300" distR="114300" simplePos="0" relativeHeight="251658240" behindDoc="1" locked="0" layoutInCell="1" allowOverlap="1" wp14:anchorId="7D06F33A" wp14:editId="15536EC7">
          <wp:simplePos x="0" y="0"/>
          <wp:positionH relativeFrom="page">
            <wp:posOffset>4974590</wp:posOffset>
          </wp:positionH>
          <wp:positionV relativeFrom="paragraph">
            <wp:posOffset>-849630</wp:posOffset>
          </wp:positionV>
          <wp:extent cx="2635885" cy="1212811"/>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5885" cy="12128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6F"/>
    <w:multiLevelType w:val="hybridMultilevel"/>
    <w:tmpl w:val="78C22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6095A"/>
    <w:multiLevelType w:val="hybridMultilevel"/>
    <w:tmpl w:val="68C48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0C11C9"/>
    <w:multiLevelType w:val="hybridMultilevel"/>
    <w:tmpl w:val="FB84B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5E20063"/>
    <w:multiLevelType w:val="hybridMultilevel"/>
    <w:tmpl w:val="E77C45F8"/>
    <w:lvl w:ilvl="0" w:tplc="4C090001">
      <w:start w:val="1"/>
      <w:numFmt w:val="bullet"/>
      <w:lvlText w:val=""/>
      <w:lvlJc w:val="left"/>
      <w:pPr>
        <w:ind w:left="1080" w:hanging="360"/>
      </w:pPr>
      <w:rPr>
        <w:rFonts w:ascii="Symbol" w:hAnsi="Symbol" w:hint="default"/>
      </w:rPr>
    </w:lvl>
    <w:lvl w:ilvl="1" w:tplc="4C090003">
      <w:start w:val="1"/>
      <w:numFmt w:val="bullet"/>
      <w:lvlText w:val="o"/>
      <w:lvlJc w:val="left"/>
      <w:pPr>
        <w:ind w:left="1800" w:hanging="360"/>
      </w:pPr>
      <w:rPr>
        <w:rFonts w:ascii="Courier New" w:hAnsi="Courier New" w:cs="Courier New" w:hint="default"/>
      </w:rPr>
    </w:lvl>
    <w:lvl w:ilvl="2" w:tplc="4C090005">
      <w:start w:val="1"/>
      <w:numFmt w:val="bullet"/>
      <w:lvlText w:val=""/>
      <w:lvlJc w:val="left"/>
      <w:pPr>
        <w:ind w:left="2520" w:hanging="360"/>
      </w:pPr>
      <w:rPr>
        <w:rFonts w:ascii="Wingdings" w:hAnsi="Wingdings" w:hint="default"/>
      </w:rPr>
    </w:lvl>
    <w:lvl w:ilvl="3" w:tplc="4C090001">
      <w:start w:val="1"/>
      <w:numFmt w:val="bullet"/>
      <w:lvlText w:val=""/>
      <w:lvlJc w:val="left"/>
      <w:pPr>
        <w:ind w:left="3240" w:hanging="360"/>
      </w:pPr>
      <w:rPr>
        <w:rFonts w:ascii="Symbol" w:hAnsi="Symbol" w:hint="default"/>
      </w:rPr>
    </w:lvl>
    <w:lvl w:ilvl="4" w:tplc="4C090003">
      <w:start w:val="1"/>
      <w:numFmt w:val="bullet"/>
      <w:lvlText w:val="o"/>
      <w:lvlJc w:val="left"/>
      <w:pPr>
        <w:ind w:left="3960" w:hanging="360"/>
      </w:pPr>
      <w:rPr>
        <w:rFonts w:ascii="Courier New" w:hAnsi="Courier New" w:cs="Courier New" w:hint="default"/>
      </w:rPr>
    </w:lvl>
    <w:lvl w:ilvl="5" w:tplc="4C090005">
      <w:start w:val="1"/>
      <w:numFmt w:val="bullet"/>
      <w:lvlText w:val=""/>
      <w:lvlJc w:val="left"/>
      <w:pPr>
        <w:ind w:left="4680" w:hanging="360"/>
      </w:pPr>
      <w:rPr>
        <w:rFonts w:ascii="Wingdings" w:hAnsi="Wingdings" w:hint="default"/>
      </w:rPr>
    </w:lvl>
    <w:lvl w:ilvl="6" w:tplc="4C090001">
      <w:start w:val="1"/>
      <w:numFmt w:val="bullet"/>
      <w:lvlText w:val=""/>
      <w:lvlJc w:val="left"/>
      <w:pPr>
        <w:ind w:left="5400" w:hanging="360"/>
      </w:pPr>
      <w:rPr>
        <w:rFonts w:ascii="Symbol" w:hAnsi="Symbol" w:hint="default"/>
      </w:rPr>
    </w:lvl>
    <w:lvl w:ilvl="7" w:tplc="4C090003">
      <w:start w:val="1"/>
      <w:numFmt w:val="bullet"/>
      <w:lvlText w:val="o"/>
      <w:lvlJc w:val="left"/>
      <w:pPr>
        <w:ind w:left="6120" w:hanging="360"/>
      </w:pPr>
      <w:rPr>
        <w:rFonts w:ascii="Courier New" w:hAnsi="Courier New" w:cs="Courier New" w:hint="default"/>
      </w:rPr>
    </w:lvl>
    <w:lvl w:ilvl="8" w:tplc="4C090005">
      <w:start w:val="1"/>
      <w:numFmt w:val="bullet"/>
      <w:lvlText w:val=""/>
      <w:lvlJc w:val="left"/>
      <w:pPr>
        <w:ind w:left="6840" w:hanging="360"/>
      </w:pPr>
      <w:rPr>
        <w:rFonts w:ascii="Wingdings" w:hAnsi="Wingdings" w:hint="default"/>
      </w:rPr>
    </w:lvl>
  </w:abstractNum>
  <w:abstractNum w:abstractNumId="4" w15:restartNumberingAfterBreak="0">
    <w:nsid w:val="2B285ABB"/>
    <w:multiLevelType w:val="hybridMultilevel"/>
    <w:tmpl w:val="E0C802E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031E1D"/>
    <w:multiLevelType w:val="hybridMultilevel"/>
    <w:tmpl w:val="F8DCA81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915254"/>
    <w:multiLevelType w:val="hybridMultilevel"/>
    <w:tmpl w:val="2A3A4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F2559"/>
    <w:multiLevelType w:val="hybridMultilevel"/>
    <w:tmpl w:val="5DD8B96A"/>
    <w:lvl w:ilvl="0" w:tplc="BC06A7C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74577"/>
    <w:multiLevelType w:val="hybridMultilevel"/>
    <w:tmpl w:val="CA3AAA6E"/>
    <w:lvl w:ilvl="0" w:tplc="4C09000F">
      <w:start w:val="1"/>
      <w:numFmt w:val="decimal"/>
      <w:lvlText w:val="%1."/>
      <w:lvlJc w:val="left"/>
      <w:pPr>
        <w:ind w:left="360" w:hanging="360"/>
      </w:pPr>
      <w:rPr>
        <w:rFonts w:hint="default"/>
      </w:r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9" w15:restartNumberingAfterBreak="0">
    <w:nsid w:val="6C665A56"/>
    <w:multiLevelType w:val="hybridMultilevel"/>
    <w:tmpl w:val="0A68BA5C"/>
    <w:lvl w:ilvl="0" w:tplc="0E785D7A">
      <w:start w:val="1"/>
      <w:numFmt w:val="bullet"/>
      <w:lvlText w:val=""/>
      <w:lvlJc w:val="left"/>
      <w:pPr>
        <w:ind w:left="720" w:hanging="360"/>
      </w:pPr>
      <w:rPr>
        <w:rFonts w:ascii="Symbol" w:hAnsi="Symbol" w:hint="default"/>
        <w:b w:val="0"/>
        <w:bCs/>
        <w:sz w:val="24"/>
        <w:szCs w:val="24"/>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0" w15:restartNumberingAfterBreak="0">
    <w:nsid w:val="74EC661C"/>
    <w:multiLevelType w:val="hybridMultilevel"/>
    <w:tmpl w:val="4B464748"/>
    <w:lvl w:ilvl="0" w:tplc="E1367F76">
      <w:start w:val="1"/>
      <w:numFmt w:val="bullet"/>
      <w:lvlText w:val=""/>
      <w:lvlJc w:val="left"/>
      <w:pPr>
        <w:ind w:left="720" w:hanging="360"/>
      </w:pPr>
      <w:rPr>
        <w:rFonts w:ascii="Symbol" w:hAnsi="Symbol" w:hint="default"/>
        <w:sz w:val="22"/>
        <w:szCs w:val="22"/>
      </w:rPr>
    </w:lvl>
    <w:lvl w:ilvl="1" w:tplc="4C090003">
      <w:start w:val="1"/>
      <w:numFmt w:val="bullet"/>
      <w:lvlText w:val="o"/>
      <w:lvlJc w:val="left"/>
      <w:pPr>
        <w:ind w:left="1440" w:hanging="360"/>
      </w:pPr>
      <w:rPr>
        <w:rFonts w:ascii="Courier New" w:hAnsi="Courier New" w:cs="Courier New" w:hint="default"/>
      </w:rPr>
    </w:lvl>
    <w:lvl w:ilvl="2" w:tplc="4C090005">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1" w15:restartNumberingAfterBreak="0">
    <w:nsid w:val="7BD31FE9"/>
    <w:multiLevelType w:val="hybridMultilevel"/>
    <w:tmpl w:val="B0B234C0"/>
    <w:lvl w:ilvl="0" w:tplc="F202F4B2">
      <w:start w:val="1"/>
      <w:numFmt w:val="decimal"/>
      <w:pStyle w:val="Heading1"/>
      <w:lvlText w:val="%1."/>
      <w:lvlJc w:val="left"/>
      <w:pPr>
        <w:ind w:left="360" w:hanging="360"/>
      </w:p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12" w15:restartNumberingAfterBreak="0">
    <w:nsid w:val="7D6029FA"/>
    <w:multiLevelType w:val="hybridMultilevel"/>
    <w:tmpl w:val="F458791C"/>
    <w:lvl w:ilvl="0" w:tplc="20E2FAEC">
      <w:start w:val="18"/>
      <w:numFmt w:val="bullet"/>
      <w:lvlText w:val="-"/>
      <w:lvlJc w:val="left"/>
      <w:pPr>
        <w:ind w:left="360" w:hanging="360"/>
      </w:pPr>
      <w:rPr>
        <w:rFonts w:ascii="Arial" w:eastAsiaTheme="minorHAnsi" w:hAnsi="Arial" w:cs="Arial" w:hint="default"/>
        <w:sz w:val="22"/>
      </w:rPr>
    </w:lvl>
    <w:lvl w:ilvl="1" w:tplc="4C090003" w:tentative="1">
      <w:start w:val="1"/>
      <w:numFmt w:val="bullet"/>
      <w:lvlText w:val="o"/>
      <w:lvlJc w:val="left"/>
      <w:pPr>
        <w:ind w:left="1080" w:hanging="360"/>
      </w:pPr>
      <w:rPr>
        <w:rFonts w:ascii="Courier New" w:hAnsi="Courier New" w:cs="Courier New" w:hint="default"/>
      </w:rPr>
    </w:lvl>
    <w:lvl w:ilvl="2" w:tplc="4C090005" w:tentative="1">
      <w:start w:val="1"/>
      <w:numFmt w:val="bullet"/>
      <w:lvlText w:val=""/>
      <w:lvlJc w:val="left"/>
      <w:pPr>
        <w:ind w:left="1800" w:hanging="360"/>
      </w:pPr>
      <w:rPr>
        <w:rFonts w:ascii="Wingdings" w:hAnsi="Wingdings" w:hint="default"/>
      </w:rPr>
    </w:lvl>
    <w:lvl w:ilvl="3" w:tplc="4C090001" w:tentative="1">
      <w:start w:val="1"/>
      <w:numFmt w:val="bullet"/>
      <w:lvlText w:val=""/>
      <w:lvlJc w:val="left"/>
      <w:pPr>
        <w:ind w:left="2520" w:hanging="360"/>
      </w:pPr>
      <w:rPr>
        <w:rFonts w:ascii="Symbol" w:hAnsi="Symbol" w:hint="default"/>
      </w:rPr>
    </w:lvl>
    <w:lvl w:ilvl="4" w:tplc="4C090003" w:tentative="1">
      <w:start w:val="1"/>
      <w:numFmt w:val="bullet"/>
      <w:lvlText w:val="o"/>
      <w:lvlJc w:val="left"/>
      <w:pPr>
        <w:ind w:left="3240" w:hanging="360"/>
      </w:pPr>
      <w:rPr>
        <w:rFonts w:ascii="Courier New" w:hAnsi="Courier New" w:cs="Courier New" w:hint="default"/>
      </w:rPr>
    </w:lvl>
    <w:lvl w:ilvl="5" w:tplc="4C090005" w:tentative="1">
      <w:start w:val="1"/>
      <w:numFmt w:val="bullet"/>
      <w:lvlText w:val=""/>
      <w:lvlJc w:val="left"/>
      <w:pPr>
        <w:ind w:left="3960" w:hanging="360"/>
      </w:pPr>
      <w:rPr>
        <w:rFonts w:ascii="Wingdings" w:hAnsi="Wingdings" w:hint="default"/>
      </w:rPr>
    </w:lvl>
    <w:lvl w:ilvl="6" w:tplc="4C090001" w:tentative="1">
      <w:start w:val="1"/>
      <w:numFmt w:val="bullet"/>
      <w:lvlText w:val=""/>
      <w:lvlJc w:val="left"/>
      <w:pPr>
        <w:ind w:left="4680" w:hanging="360"/>
      </w:pPr>
      <w:rPr>
        <w:rFonts w:ascii="Symbol" w:hAnsi="Symbol" w:hint="default"/>
      </w:rPr>
    </w:lvl>
    <w:lvl w:ilvl="7" w:tplc="4C090003" w:tentative="1">
      <w:start w:val="1"/>
      <w:numFmt w:val="bullet"/>
      <w:lvlText w:val="o"/>
      <w:lvlJc w:val="left"/>
      <w:pPr>
        <w:ind w:left="5400" w:hanging="360"/>
      </w:pPr>
      <w:rPr>
        <w:rFonts w:ascii="Courier New" w:hAnsi="Courier New" w:cs="Courier New" w:hint="default"/>
      </w:rPr>
    </w:lvl>
    <w:lvl w:ilvl="8" w:tplc="4C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8"/>
  </w:num>
  <w:num w:numId="4">
    <w:abstractNumId w:val="5"/>
  </w:num>
  <w:num w:numId="5">
    <w:abstractNumId w:val="2"/>
  </w:num>
  <w:num w:numId="6">
    <w:abstractNumId w:val="9"/>
  </w:num>
  <w:num w:numId="7">
    <w:abstractNumId w:val="0"/>
  </w:num>
  <w:num w:numId="8">
    <w:abstractNumId w:val="3"/>
  </w:num>
  <w:num w:numId="9">
    <w:abstractNumId w:val="11"/>
  </w:num>
  <w:num w:numId="10">
    <w:abstractNumId w:val="6"/>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S0NDYwtDQ0M7IwM7BU0lEKTi0uzszPAymwqAUAqxaw6CwAAAA="/>
  </w:docVars>
  <w:rsids>
    <w:rsidRoot w:val="00107519"/>
    <w:rsid w:val="00013B1A"/>
    <w:rsid w:val="00015785"/>
    <w:rsid w:val="00023081"/>
    <w:rsid w:val="00062694"/>
    <w:rsid w:val="00080B6B"/>
    <w:rsid w:val="000B0E7F"/>
    <w:rsid w:val="00107519"/>
    <w:rsid w:val="00111589"/>
    <w:rsid w:val="00135880"/>
    <w:rsid w:val="00141663"/>
    <w:rsid w:val="00155501"/>
    <w:rsid w:val="00163BBE"/>
    <w:rsid w:val="00192841"/>
    <w:rsid w:val="001C7195"/>
    <w:rsid w:val="001C71BE"/>
    <w:rsid w:val="001D197F"/>
    <w:rsid w:val="00217CFC"/>
    <w:rsid w:val="002634D2"/>
    <w:rsid w:val="00281DD6"/>
    <w:rsid w:val="002A26C4"/>
    <w:rsid w:val="002E012B"/>
    <w:rsid w:val="002E7E3E"/>
    <w:rsid w:val="00300767"/>
    <w:rsid w:val="003104A2"/>
    <w:rsid w:val="00322546"/>
    <w:rsid w:val="00347F92"/>
    <w:rsid w:val="003A3276"/>
    <w:rsid w:val="00466AD9"/>
    <w:rsid w:val="0047667B"/>
    <w:rsid w:val="004919BB"/>
    <w:rsid w:val="00491B79"/>
    <w:rsid w:val="00496EFE"/>
    <w:rsid w:val="004A56A5"/>
    <w:rsid w:val="004F3565"/>
    <w:rsid w:val="0050403F"/>
    <w:rsid w:val="00535D87"/>
    <w:rsid w:val="00560BEF"/>
    <w:rsid w:val="0057542E"/>
    <w:rsid w:val="00596375"/>
    <w:rsid w:val="005A1CF0"/>
    <w:rsid w:val="005A341B"/>
    <w:rsid w:val="005A5C40"/>
    <w:rsid w:val="005C2461"/>
    <w:rsid w:val="005D21B5"/>
    <w:rsid w:val="006824B8"/>
    <w:rsid w:val="00691DCC"/>
    <w:rsid w:val="006952AD"/>
    <w:rsid w:val="00717835"/>
    <w:rsid w:val="00724CE4"/>
    <w:rsid w:val="00747449"/>
    <w:rsid w:val="007876AA"/>
    <w:rsid w:val="00791797"/>
    <w:rsid w:val="007A6548"/>
    <w:rsid w:val="007B5F53"/>
    <w:rsid w:val="00804E5C"/>
    <w:rsid w:val="00835F19"/>
    <w:rsid w:val="008476ED"/>
    <w:rsid w:val="00887D33"/>
    <w:rsid w:val="008B7591"/>
    <w:rsid w:val="008E1056"/>
    <w:rsid w:val="008F398F"/>
    <w:rsid w:val="008F5B53"/>
    <w:rsid w:val="00921002"/>
    <w:rsid w:val="00973D0A"/>
    <w:rsid w:val="009974A7"/>
    <w:rsid w:val="009B0008"/>
    <w:rsid w:val="009F1A58"/>
    <w:rsid w:val="00A14537"/>
    <w:rsid w:val="00A17498"/>
    <w:rsid w:val="00A543B9"/>
    <w:rsid w:val="00AC0825"/>
    <w:rsid w:val="00B1173B"/>
    <w:rsid w:val="00B328B7"/>
    <w:rsid w:val="00B44273"/>
    <w:rsid w:val="00B61611"/>
    <w:rsid w:val="00B728B7"/>
    <w:rsid w:val="00BA0ED6"/>
    <w:rsid w:val="00BA5B44"/>
    <w:rsid w:val="00BF21C7"/>
    <w:rsid w:val="00BF4C18"/>
    <w:rsid w:val="00C44BAC"/>
    <w:rsid w:val="00C50975"/>
    <w:rsid w:val="00CC3137"/>
    <w:rsid w:val="00D02631"/>
    <w:rsid w:val="00D211C3"/>
    <w:rsid w:val="00D7520D"/>
    <w:rsid w:val="00D81BFF"/>
    <w:rsid w:val="00DB1FAF"/>
    <w:rsid w:val="00E015D4"/>
    <w:rsid w:val="00E43B3E"/>
    <w:rsid w:val="00E578A1"/>
    <w:rsid w:val="00E821CC"/>
    <w:rsid w:val="00EC2CE3"/>
    <w:rsid w:val="00EE4F60"/>
    <w:rsid w:val="00F12127"/>
    <w:rsid w:val="00F279EA"/>
    <w:rsid w:val="00F6745A"/>
    <w:rsid w:val="00F904BE"/>
    <w:rsid w:val="00FD45C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AAC8A"/>
  <w15:chartTrackingRefBased/>
  <w15:docId w15:val="{951E9CB5-A545-427F-80E6-B3A833D4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CC"/>
    <w:rPr>
      <w:rFonts w:asciiTheme="majorHAnsi" w:eastAsiaTheme="minorHAnsi" w:hAnsiTheme="majorHAnsi"/>
      <w:sz w:val="24"/>
      <w:szCs w:val="22"/>
      <w:lang w:val="en-US" w:eastAsia="en-US" w:bidi="ar-SA"/>
    </w:rPr>
  </w:style>
  <w:style w:type="paragraph" w:styleId="Heading1">
    <w:name w:val="heading 1"/>
    <w:basedOn w:val="Normal"/>
    <w:next w:val="Normal"/>
    <w:link w:val="Heading1Char"/>
    <w:autoRedefine/>
    <w:uiPriority w:val="9"/>
    <w:qFormat/>
    <w:rsid w:val="001C7195"/>
    <w:pPr>
      <w:keepNext/>
      <w:keepLines/>
      <w:numPr>
        <w:numId w:val="9"/>
      </w:numPr>
      <w:bidi/>
      <w:spacing w:after="0" w:line="240" w:lineRule="auto"/>
      <w:outlineLvl w:val="0"/>
    </w:pPr>
    <w:rPr>
      <w:rFonts w:ascii="Sakkal Majalla" w:eastAsia="Times New Roman" w:hAnsi="Sakkal Majalla" w:cs="Sakkal Majalla"/>
      <w:b/>
      <w:bCs/>
      <w:color w:val="0070C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519"/>
  </w:style>
  <w:style w:type="paragraph" w:styleId="Footer">
    <w:name w:val="footer"/>
    <w:basedOn w:val="Normal"/>
    <w:link w:val="FooterChar"/>
    <w:uiPriority w:val="99"/>
    <w:unhideWhenUsed/>
    <w:rsid w:val="00107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519"/>
  </w:style>
  <w:style w:type="paragraph" w:styleId="Title">
    <w:name w:val="Title"/>
    <w:basedOn w:val="Normal"/>
    <w:next w:val="Normal"/>
    <w:link w:val="TitleChar"/>
    <w:uiPriority w:val="10"/>
    <w:qFormat/>
    <w:rsid w:val="00107519"/>
    <w:pPr>
      <w:spacing w:after="0" w:line="240" w:lineRule="auto"/>
      <w:contextualSpacing/>
    </w:pPr>
    <w:rPr>
      <w:rFonts w:eastAsiaTheme="majorEastAsia" w:cstheme="majorBidi"/>
      <w:spacing w:val="-10"/>
      <w:kern w:val="28"/>
      <w:sz w:val="56"/>
      <w:szCs w:val="71"/>
    </w:rPr>
  </w:style>
  <w:style w:type="character" w:customStyle="1" w:styleId="TitleChar">
    <w:name w:val="Title Char"/>
    <w:basedOn w:val="DefaultParagraphFont"/>
    <w:link w:val="Title"/>
    <w:uiPriority w:val="10"/>
    <w:rsid w:val="00107519"/>
    <w:rPr>
      <w:rFonts w:asciiTheme="majorHAnsi" w:eastAsiaTheme="majorEastAsia" w:hAnsiTheme="majorHAnsi" w:cstheme="majorBidi"/>
      <w:spacing w:val="-10"/>
      <w:kern w:val="28"/>
      <w:sz w:val="56"/>
      <w:szCs w:val="71"/>
    </w:rPr>
  </w:style>
  <w:style w:type="table" w:styleId="TableGrid">
    <w:name w:val="Table Grid"/>
    <w:basedOn w:val="TableNormal"/>
    <w:uiPriority w:val="59"/>
    <w:rsid w:val="00E821CC"/>
    <w:pPr>
      <w:spacing w:after="0" w:line="240" w:lineRule="auto"/>
    </w:pPr>
    <w:rPr>
      <w:rFonts w:eastAsiaTheme="minorHAnsi"/>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Listas,FooterText,Bullet List,List Paragraph1,numbered,Paragraphe de liste1,Bulletr List Paragraph,列出段落,列出段落1,Parágrafo da Lista1,List Paragraph2,List Paragraph21,List Paragraph11,Listeafsnit1,Párrafo de lista1,リスト段落1,Bullet list"/>
    <w:basedOn w:val="Normal"/>
    <w:link w:val="ListParagraphChar"/>
    <w:uiPriority w:val="34"/>
    <w:qFormat/>
    <w:rsid w:val="00B1173B"/>
    <w:pPr>
      <w:ind w:left="720"/>
      <w:contextualSpacing/>
    </w:pPr>
  </w:style>
  <w:style w:type="character" w:customStyle="1" w:styleId="Heading1Char">
    <w:name w:val="Heading 1 Char"/>
    <w:basedOn w:val="DefaultParagraphFont"/>
    <w:link w:val="Heading1"/>
    <w:uiPriority w:val="9"/>
    <w:rsid w:val="001C7195"/>
    <w:rPr>
      <w:rFonts w:ascii="Sakkal Majalla" w:eastAsia="Times New Roman" w:hAnsi="Sakkal Majalla" w:cs="Sakkal Majalla"/>
      <w:b/>
      <w:bCs/>
      <w:color w:val="0070C0"/>
      <w:sz w:val="36"/>
      <w:szCs w:val="36"/>
      <w:lang w:val="en-US" w:eastAsia="en-US" w:bidi="ar-SA"/>
    </w:rPr>
  </w:style>
  <w:style w:type="character" w:customStyle="1" w:styleId="ListParagraphChar">
    <w:name w:val="List Paragraph Char"/>
    <w:aliases w:val="Bullet 1 Char,Listas Char,FooterText Char,Bullet List Char,List Paragraph1 Char,numbered Char,Paragraphe de liste1 Char,Bulletr List Paragraph Char,列出段落 Char,列出段落1 Char,Parágrafo da Lista1 Char,List Paragraph2 Char,Listeafsnit1 Char"/>
    <w:basedOn w:val="DefaultParagraphFont"/>
    <w:link w:val="ListParagraph"/>
    <w:uiPriority w:val="34"/>
    <w:rsid w:val="001C7195"/>
    <w:rPr>
      <w:rFonts w:asciiTheme="majorHAnsi" w:eastAsiaTheme="minorHAnsi" w:hAnsiTheme="majorHAnsi"/>
      <w:sz w:val="24"/>
      <w:szCs w:val="22"/>
      <w:lang w:val="en-US" w:eastAsia="en-US" w:bidi="ar-SA"/>
    </w:rPr>
  </w:style>
  <w:style w:type="paragraph" w:styleId="BalloonText">
    <w:name w:val="Balloon Text"/>
    <w:basedOn w:val="Normal"/>
    <w:link w:val="BalloonTextChar"/>
    <w:uiPriority w:val="99"/>
    <w:semiHidden/>
    <w:unhideWhenUsed/>
    <w:rsid w:val="00A17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98"/>
    <w:rPr>
      <w:rFonts w:ascii="Segoe UI" w:eastAsiaTheme="minorHAnsi" w:hAnsi="Segoe UI" w:cs="Segoe UI"/>
      <w:sz w:val="18"/>
      <w:szCs w:val="18"/>
      <w:lang w:val="en-US" w:eastAsia="en-US" w:bidi="ar-SA"/>
    </w:rPr>
  </w:style>
  <w:style w:type="character" w:styleId="CommentReference">
    <w:name w:val="annotation reference"/>
    <w:basedOn w:val="DefaultParagraphFont"/>
    <w:unhideWhenUsed/>
    <w:rsid w:val="00A17498"/>
    <w:rPr>
      <w:sz w:val="16"/>
      <w:szCs w:val="16"/>
    </w:rPr>
  </w:style>
  <w:style w:type="paragraph" w:styleId="CommentText">
    <w:name w:val="annotation text"/>
    <w:basedOn w:val="Normal"/>
    <w:link w:val="CommentTextChar"/>
    <w:uiPriority w:val="99"/>
    <w:unhideWhenUsed/>
    <w:rsid w:val="00A17498"/>
    <w:pPr>
      <w:spacing w:line="240" w:lineRule="auto"/>
    </w:pPr>
    <w:rPr>
      <w:sz w:val="20"/>
      <w:szCs w:val="20"/>
    </w:rPr>
  </w:style>
  <w:style w:type="character" w:customStyle="1" w:styleId="CommentTextChar">
    <w:name w:val="Comment Text Char"/>
    <w:basedOn w:val="DefaultParagraphFont"/>
    <w:link w:val="CommentText"/>
    <w:uiPriority w:val="99"/>
    <w:rsid w:val="00A17498"/>
    <w:rPr>
      <w:rFonts w:asciiTheme="majorHAnsi" w:eastAsiaTheme="minorHAnsi" w:hAnsiTheme="majorHAnsi"/>
      <w:sz w:val="20"/>
      <w:szCs w:val="20"/>
      <w:lang w:val="en-US" w:eastAsia="en-US" w:bidi="ar-SA"/>
    </w:rPr>
  </w:style>
  <w:style w:type="character" w:styleId="Hyperlink">
    <w:name w:val="Hyperlink"/>
    <w:basedOn w:val="DefaultParagraphFont"/>
    <w:uiPriority w:val="99"/>
    <w:unhideWhenUsed/>
    <w:rsid w:val="00CC3137"/>
    <w:rPr>
      <w:color w:val="0563C1" w:themeColor="hyperlink"/>
      <w:u w:val="single"/>
    </w:rPr>
  </w:style>
  <w:style w:type="character" w:customStyle="1" w:styleId="UnresolvedMention1">
    <w:name w:val="Unresolved Mention1"/>
    <w:basedOn w:val="DefaultParagraphFont"/>
    <w:uiPriority w:val="99"/>
    <w:semiHidden/>
    <w:unhideWhenUsed/>
    <w:rsid w:val="00CC3137"/>
    <w:rPr>
      <w:color w:val="605E5C"/>
      <w:shd w:val="clear" w:color="auto" w:fill="E1DFDD"/>
    </w:rPr>
  </w:style>
  <w:style w:type="paragraph" w:styleId="TOC1">
    <w:name w:val="toc 1"/>
    <w:basedOn w:val="Normal"/>
    <w:next w:val="Normal"/>
    <w:autoRedefine/>
    <w:uiPriority w:val="39"/>
    <w:unhideWhenUsed/>
    <w:rsid w:val="001C71BE"/>
    <w:pPr>
      <w:spacing w:after="100"/>
    </w:pPr>
  </w:style>
  <w:style w:type="paragraph" w:styleId="CommentSubject">
    <w:name w:val="annotation subject"/>
    <w:basedOn w:val="CommentText"/>
    <w:next w:val="CommentText"/>
    <w:link w:val="CommentSubjectChar"/>
    <w:uiPriority w:val="99"/>
    <w:semiHidden/>
    <w:unhideWhenUsed/>
    <w:rsid w:val="00D02631"/>
    <w:rPr>
      <w:b/>
      <w:bCs/>
    </w:rPr>
  </w:style>
  <w:style w:type="character" w:customStyle="1" w:styleId="CommentSubjectChar">
    <w:name w:val="Comment Subject Char"/>
    <w:basedOn w:val="CommentTextChar"/>
    <w:link w:val="CommentSubject"/>
    <w:uiPriority w:val="99"/>
    <w:semiHidden/>
    <w:rsid w:val="00D02631"/>
    <w:rPr>
      <w:rFonts w:asciiTheme="majorHAnsi" w:eastAsiaTheme="minorHAnsi" w:hAnsiTheme="majorHAnsi"/>
      <w:b/>
      <w:bCs/>
      <w:sz w:val="20"/>
      <w:szCs w:val="20"/>
      <w:lang w:val="en-US" w:eastAsia="en-US" w:bidi="ar-SA"/>
    </w:rPr>
  </w:style>
  <w:style w:type="paragraph" w:styleId="Revision">
    <w:name w:val="Revision"/>
    <w:hidden/>
    <w:uiPriority w:val="99"/>
    <w:semiHidden/>
    <w:rsid w:val="00E578A1"/>
    <w:pPr>
      <w:spacing w:after="0" w:line="240" w:lineRule="auto"/>
    </w:pPr>
    <w:rPr>
      <w:rFonts w:asciiTheme="majorHAnsi" w:eastAsiaTheme="minorHAnsi" w:hAnsiTheme="majorHAnsi"/>
      <w:sz w:val="24"/>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062">
      <w:bodyDiv w:val="1"/>
      <w:marLeft w:val="0"/>
      <w:marRight w:val="0"/>
      <w:marTop w:val="0"/>
      <w:marBottom w:val="0"/>
      <w:divBdr>
        <w:top w:val="none" w:sz="0" w:space="0" w:color="auto"/>
        <w:left w:val="none" w:sz="0" w:space="0" w:color="auto"/>
        <w:bottom w:val="none" w:sz="0" w:space="0" w:color="auto"/>
        <w:right w:val="none" w:sz="0" w:space="0" w:color="auto"/>
      </w:divBdr>
      <w:divsChild>
        <w:div w:id="797067382">
          <w:marLeft w:val="0"/>
          <w:marRight w:val="0"/>
          <w:marTop w:val="0"/>
          <w:marBottom w:val="0"/>
          <w:divBdr>
            <w:top w:val="none" w:sz="0" w:space="0" w:color="auto"/>
            <w:left w:val="none" w:sz="0" w:space="0" w:color="auto"/>
            <w:bottom w:val="none" w:sz="0" w:space="0" w:color="auto"/>
            <w:right w:val="none" w:sz="0" w:space="0" w:color="auto"/>
          </w:divBdr>
        </w:div>
      </w:divsChild>
    </w:div>
    <w:div w:id="507209120">
      <w:bodyDiv w:val="1"/>
      <w:marLeft w:val="0"/>
      <w:marRight w:val="0"/>
      <w:marTop w:val="0"/>
      <w:marBottom w:val="0"/>
      <w:divBdr>
        <w:top w:val="none" w:sz="0" w:space="0" w:color="auto"/>
        <w:left w:val="none" w:sz="0" w:space="0" w:color="auto"/>
        <w:bottom w:val="none" w:sz="0" w:space="0" w:color="auto"/>
        <w:right w:val="none" w:sz="0" w:space="0" w:color="auto"/>
      </w:divBdr>
    </w:div>
    <w:div w:id="849756559">
      <w:bodyDiv w:val="1"/>
      <w:marLeft w:val="0"/>
      <w:marRight w:val="0"/>
      <w:marTop w:val="0"/>
      <w:marBottom w:val="0"/>
      <w:divBdr>
        <w:top w:val="none" w:sz="0" w:space="0" w:color="auto"/>
        <w:left w:val="none" w:sz="0" w:space="0" w:color="auto"/>
        <w:bottom w:val="none" w:sz="0" w:space="0" w:color="auto"/>
        <w:right w:val="none" w:sz="0" w:space="0" w:color="auto"/>
      </w:divBdr>
    </w:div>
    <w:div w:id="942617438">
      <w:bodyDiv w:val="1"/>
      <w:marLeft w:val="0"/>
      <w:marRight w:val="0"/>
      <w:marTop w:val="0"/>
      <w:marBottom w:val="0"/>
      <w:divBdr>
        <w:top w:val="none" w:sz="0" w:space="0" w:color="auto"/>
        <w:left w:val="none" w:sz="0" w:space="0" w:color="auto"/>
        <w:bottom w:val="none" w:sz="0" w:space="0" w:color="auto"/>
        <w:right w:val="none" w:sz="0" w:space="0" w:color="auto"/>
      </w:divBdr>
    </w:div>
    <w:div w:id="1473019641">
      <w:bodyDiv w:val="1"/>
      <w:marLeft w:val="0"/>
      <w:marRight w:val="0"/>
      <w:marTop w:val="0"/>
      <w:marBottom w:val="0"/>
      <w:divBdr>
        <w:top w:val="none" w:sz="0" w:space="0" w:color="auto"/>
        <w:left w:val="none" w:sz="0" w:space="0" w:color="auto"/>
        <w:bottom w:val="none" w:sz="0" w:space="0" w:color="auto"/>
        <w:right w:val="none" w:sz="0" w:space="0" w:color="auto"/>
      </w:divBdr>
    </w:div>
    <w:div w:id="1960530536">
      <w:bodyDiv w:val="1"/>
      <w:marLeft w:val="0"/>
      <w:marRight w:val="0"/>
      <w:marTop w:val="0"/>
      <w:marBottom w:val="0"/>
      <w:divBdr>
        <w:top w:val="none" w:sz="0" w:space="0" w:color="auto"/>
        <w:left w:val="none" w:sz="0" w:space="0" w:color="auto"/>
        <w:bottom w:val="none" w:sz="0" w:space="0" w:color="auto"/>
        <w:right w:val="none" w:sz="0" w:space="0" w:color="auto"/>
      </w:divBdr>
      <w:divsChild>
        <w:div w:id="1950426911">
          <w:marLeft w:val="0"/>
          <w:marRight w:val="0"/>
          <w:marTop w:val="0"/>
          <w:marBottom w:val="0"/>
          <w:divBdr>
            <w:top w:val="none" w:sz="0" w:space="0" w:color="auto"/>
            <w:left w:val="none" w:sz="0" w:space="0" w:color="auto"/>
            <w:bottom w:val="none" w:sz="0" w:space="0" w:color="auto"/>
            <w:right w:val="none" w:sz="0" w:space="0" w:color="auto"/>
          </w:divBdr>
        </w:div>
      </w:divsChild>
    </w:div>
    <w:div w:id="20639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Ghamdi@Tadawul.com.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med.Jebur@FG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1A6C-5C5D-46C8-95F2-2089C4F7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Noubi</dc:creator>
  <cp:keywords/>
  <dc:description/>
  <cp:lastModifiedBy>Ibrahim A. Al Khayyal</cp:lastModifiedBy>
  <cp:revision>2</cp:revision>
  <dcterms:created xsi:type="dcterms:W3CDTF">2021-04-11T11:06:00Z</dcterms:created>
  <dcterms:modified xsi:type="dcterms:W3CDTF">2021-04-11T11:06:00Z</dcterms:modified>
</cp:coreProperties>
</file>